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25902" w:rsidRPr="00725902" w:rsidTr="002548BB">
        <w:trPr>
          <w:trHeight w:hRule="exact" w:val="2948"/>
        </w:trPr>
        <w:tc>
          <w:tcPr>
            <w:tcW w:w="11186" w:type="dxa"/>
            <w:vAlign w:val="center"/>
          </w:tcPr>
          <w:p w:rsidR="00725902" w:rsidRPr="00810CBA" w:rsidRDefault="00725902" w:rsidP="00CD35F3">
            <w:pPr>
              <w:spacing w:line="500" w:lineRule="exact"/>
              <w:ind w:left="907" w:right="907"/>
              <w:rPr>
                <w:rFonts w:ascii="Calibri" w:hAnsi="Calibri" w:cs="Times New Roman"/>
                <w:b/>
                <w:caps/>
                <w:color w:val="FFFFFF"/>
                <w:sz w:val="50"/>
                <w:szCs w:val="50"/>
                <w:lang w:val="en-GB"/>
              </w:rPr>
            </w:pPr>
            <w:r w:rsidRPr="00810CBA">
              <w:rPr>
                <w:rFonts w:ascii="Calibri" w:hAnsi="Calibri" w:cs="Times New Roman"/>
                <w:b/>
                <w:caps/>
                <w:color w:val="FFFFFF"/>
                <w:sz w:val="50"/>
                <w:szCs w:val="50"/>
                <w:lang w:val="en-GB"/>
              </w:rPr>
              <w:t>Guideline</w:t>
            </w:r>
          </w:p>
        </w:tc>
      </w:tr>
    </w:tbl>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caps/>
          <w:color w:val="00558C"/>
          <w:sz w:val="50"/>
          <w:lang w:eastAsia="en-US"/>
        </w:rPr>
      </w:pPr>
      <w:r w:rsidRPr="00725902">
        <w:rPr>
          <w:rFonts w:ascii="Calibri" w:hAnsi="Calibri" w:cs="Times New Roman"/>
          <w:caps/>
          <w:color w:val="00558C"/>
          <w:sz w:val="50"/>
          <w:lang w:eastAsia="en-US"/>
        </w:rPr>
        <w:t>1</w:t>
      </w:r>
      <w:r w:rsidR="00786C77">
        <w:rPr>
          <w:rFonts w:ascii="Calibri" w:hAnsi="Calibri" w:cs="Times New Roman"/>
          <w:caps/>
          <w:color w:val="00558C"/>
          <w:sz w:val="50"/>
          <w:lang w:eastAsia="en-US"/>
        </w:rPr>
        <w:t>142</w:t>
      </w:r>
      <w:bookmarkStart w:id="0" w:name="_GoBack"/>
      <w:bookmarkEnd w:id="0"/>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500" w:lineRule="exact"/>
        <w:rPr>
          <w:rFonts w:ascii="Calibri" w:hAnsi="Calibri" w:cs="Times New Roman"/>
          <w:bCs/>
          <w:caps/>
          <w:color w:val="00558C"/>
          <w:sz w:val="50"/>
          <w:szCs w:val="50"/>
          <w:lang w:eastAsia="en-US"/>
        </w:rPr>
      </w:pPr>
    </w:p>
    <w:p w:rsidR="00725902" w:rsidRDefault="00725902" w:rsidP="00725902">
      <w:pPr>
        <w:spacing w:line="500" w:lineRule="exact"/>
        <w:rPr>
          <w:rFonts w:ascii="Calibri" w:hAnsi="Calibri" w:cs="Times New Roman"/>
          <w:bCs/>
          <w:caps/>
          <w:color w:val="00558C"/>
          <w:sz w:val="50"/>
          <w:szCs w:val="50"/>
          <w:lang w:eastAsia="en-US"/>
        </w:rPr>
      </w:pPr>
      <w:r w:rsidRPr="00725902">
        <w:rPr>
          <w:rFonts w:ascii="Calibri" w:hAnsi="Calibri" w:cs="Times New Roman"/>
          <w:bCs/>
          <w:caps/>
          <w:color w:val="00558C"/>
          <w:sz w:val="50"/>
          <w:szCs w:val="50"/>
          <w:lang w:eastAsia="en-US"/>
        </w:rPr>
        <w:t xml:space="preserve">The Provision of Local </w:t>
      </w:r>
      <w:r w:rsidR="00503C61">
        <w:rPr>
          <w:rFonts w:ascii="Calibri" w:hAnsi="Calibri" w:cs="Times New Roman"/>
          <w:bCs/>
          <w:caps/>
          <w:color w:val="00558C"/>
          <w:sz w:val="50"/>
          <w:szCs w:val="50"/>
          <w:lang w:eastAsia="en-US"/>
        </w:rPr>
        <w:t xml:space="preserve">PORT </w:t>
      </w:r>
      <w:r w:rsidRPr="00725902">
        <w:rPr>
          <w:rFonts w:ascii="Calibri" w:hAnsi="Calibri" w:cs="Times New Roman"/>
          <w:bCs/>
          <w:caps/>
          <w:color w:val="00558C"/>
          <w:sz w:val="50"/>
          <w:szCs w:val="50"/>
          <w:lang w:eastAsia="en-US"/>
        </w:rPr>
        <w:t>ServiceS</w:t>
      </w:r>
      <w:r w:rsidR="00503C61">
        <w:rPr>
          <w:rFonts w:ascii="Calibri" w:hAnsi="Calibri" w:cs="Times New Roman"/>
          <w:bCs/>
          <w:caps/>
          <w:color w:val="00558C"/>
          <w:sz w:val="50"/>
          <w:szCs w:val="50"/>
          <w:lang w:eastAsia="en-US"/>
        </w:rPr>
        <w:t xml:space="preserve"> OTHER THAN VTS</w:t>
      </w:r>
    </w:p>
    <w:p w:rsidR="001A140F" w:rsidRDefault="001A140F" w:rsidP="00725902">
      <w:pPr>
        <w:spacing w:line="500" w:lineRule="exact"/>
        <w:rPr>
          <w:rFonts w:ascii="Calibri" w:hAnsi="Calibri" w:cs="Times New Roman"/>
          <w:bCs/>
          <w:caps/>
          <w:color w:val="00558C"/>
          <w:sz w:val="50"/>
          <w:szCs w:val="50"/>
          <w:lang w:eastAsia="en-US"/>
        </w:rPr>
      </w:pPr>
    </w:p>
    <w:p w:rsidR="00725902" w:rsidRPr="00725902" w:rsidRDefault="00725902" w:rsidP="00725902">
      <w:pPr>
        <w:spacing w:line="500" w:lineRule="exact"/>
        <w:rPr>
          <w:rFonts w:ascii="Calibri" w:hAnsi="Calibri" w:cs="Times New Roman"/>
          <w:bCs/>
          <w:caps/>
          <w:color w:val="00558C"/>
          <w:sz w:val="50"/>
          <w:szCs w:val="50"/>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b/>
          <w:color w:val="00558C"/>
          <w:sz w:val="50"/>
          <w:szCs w:val="50"/>
          <w:lang w:eastAsia="en-US"/>
        </w:rPr>
      </w:pPr>
      <w:r w:rsidRPr="00725902">
        <w:rPr>
          <w:rFonts w:ascii="Calibri" w:hAnsi="Calibri" w:cs="Times New Roman"/>
          <w:b/>
          <w:color w:val="00558C"/>
          <w:sz w:val="50"/>
          <w:szCs w:val="50"/>
          <w:lang w:eastAsia="en-US"/>
        </w:rPr>
        <w:t>Edition 1.0</w:t>
      </w:r>
    </w:p>
    <w:p w:rsidR="00725902" w:rsidRPr="00725902" w:rsidRDefault="00CD35F3" w:rsidP="00725902">
      <w:pPr>
        <w:spacing w:line="216" w:lineRule="atLeast"/>
        <w:rPr>
          <w:rFonts w:ascii="Calibri" w:hAnsi="Calibri" w:cs="Times New Roman"/>
          <w:b/>
          <w:color w:val="00558C"/>
          <w:sz w:val="28"/>
          <w:lang w:eastAsia="en-US"/>
        </w:rPr>
      </w:pPr>
      <w:r>
        <w:rPr>
          <w:rFonts w:ascii="Calibri" w:hAnsi="Calibri" w:cs="Times New Roman"/>
          <w:b/>
          <w:color w:val="00558C"/>
          <w:sz w:val="28"/>
          <w:lang w:eastAsia="en-US"/>
        </w:rPr>
        <w:t>December 2018</w:t>
      </w:r>
    </w:p>
    <w:p w:rsidR="00725902" w:rsidRPr="00725902" w:rsidRDefault="00725902" w:rsidP="00725902">
      <w:pPr>
        <w:spacing w:line="216" w:lineRule="atLeast"/>
        <w:rPr>
          <w:rFonts w:ascii="Calibri" w:hAnsi="Calibri" w:cs="Times New Roman"/>
          <w:sz w:val="18"/>
          <w:lang w:eastAsia="en-US"/>
        </w:rPr>
        <w:sectPr w:rsidR="00725902" w:rsidRPr="00725902" w:rsidSect="00725902">
          <w:headerReference w:type="even" r:id="rId9"/>
          <w:headerReference w:type="default" r:id="rId10"/>
          <w:footerReference w:type="even" r:id="rId11"/>
          <w:footerReference w:type="default" r:id="rId12"/>
          <w:headerReference w:type="first" r:id="rId13"/>
          <w:footerReference w:type="first" r:id="rId14"/>
          <w:pgSz w:w="11906" w:h="16838" w:code="9"/>
          <w:pgMar w:top="567" w:right="1276" w:bottom="2495" w:left="1276" w:header="567" w:footer="567" w:gutter="0"/>
          <w:cols w:space="708"/>
          <w:docGrid w:linePitch="360"/>
        </w:sectPr>
      </w:pP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25902" w:rsidRPr="00725902" w:rsidTr="00065942">
        <w:tc>
          <w:tcPr>
            <w:tcW w:w="1908" w:type="dxa"/>
          </w:tcPr>
          <w:p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Date</w:t>
            </w:r>
          </w:p>
        </w:tc>
        <w:tc>
          <w:tcPr>
            <w:tcW w:w="3576" w:type="dxa"/>
          </w:tcPr>
          <w:p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Page / Section Revised</w:t>
            </w:r>
          </w:p>
        </w:tc>
        <w:tc>
          <w:tcPr>
            <w:tcW w:w="5001" w:type="dxa"/>
          </w:tcPr>
          <w:p w:rsidR="00725902" w:rsidRPr="00725902" w:rsidRDefault="00725902" w:rsidP="00725902">
            <w:pPr>
              <w:spacing w:before="60" w:after="60" w:line="216" w:lineRule="atLeast"/>
              <w:ind w:left="113" w:right="113"/>
              <w:rPr>
                <w:rFonts w:ascii="Calibri" w:hAnsi="Calibri" w:cs="Times New Roman"/>
                <w:b/>
                <w:color w:val="407EC9"/>
                <w:sz w:val="20"/>
                <w:lang w:val="en-US" w:eastAsia="en-US"/>
              </w:rPr>
            </w:pPr>
            <w:r w:rsidRPr="00725902">
              <w:rPr>
                <w:rFonts w:ascii="Calibri" w:hAnsi="Calibri" w:cs="Times New Roman"/>
                <w:b/>
                <w:color w:val="407EC9"/>
                <w:sz w:val="20"/>
                <w:lang w:val="en-US" w:eastAsia="en-US"/>
              </w:rPr>
              <w:t>Requirement for Revision</w:t>
            </w: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r w:rsidR="00725902" w:rsidRPr="00725902" w:rsidTr="00065942">
        <w:trPr>
          <w:trHeight w:val="851"/>
        </w:trPr>
        <w:tc>
          <w:tcPr>
            <w:tcW w:w="1908"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3576"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c>
          <w:tcPr>
            <w:tcW w:w="5001" w:type="dxa"/>
            <w:vAlign w:val="center"/>
          </w:tcPr>
          <w:p w:rsidR="00725902" w:rsidRPr="00725902" w:rsidRDefault="00725902" w:rsidP="00725902">
            <w:pPr>
              <w:spacing w:before="60" w:after="60" w:line="216" w:lineRule="atLeast"/>
              <w:ind w:left="113" w:right="113"/>
              <w:rPr>
                <w:rFonts w:ascii="Calibri" w:hAnsi="Calibri" w:cs="Times New Roman"/>
                <w:color w:val="000000"/>
                <w:sz w:val="20"/>
                <w:lang w:eastAsia="en-US"/>
              </w:rPr>
            </w:pPr>
          </w:p>
        </w:tc>
      </w:tr>
    </w:tbl>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after="200" w:line="276" w:lineRule="auto"/>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tabs>
          <w:tab w:val="left" w:pos="3368"/>
        </w:tabs>
        <w:spacing w:line="216" w:lineRule="atLeast"/>
        <w:rPr>
          <w:rFonts w:ascii="Calibri" w:hAnsi="Calibri" w:cs="Times New Roman"/>
          <w:sz w:val="18"/>
          <w:lang w:eastAsia="en-US"/>
        </w:rPr>
      </w:pPr>
      <w:r w:rsidRPr="00725902">
        <w:rPr>
          <w:rFonts w:ascii="Calibri" w:hAnsi="Calibri" w:cs="Times New Roman"/>
          <w:sz w:val="18"/>
          <w:lang w:eastAsia="en-US"/>
        </w:rPr>
        <w:tab/>
      </w:r>
    </w:p>
    <w:p w:rsidR="00725902" w:rsidRPr="00725902" w:rsidRDefault="00725902" w:rsidP="00725902">
      <w:pPr>
        <w:tabs>
          <w:tab w:val="left" w:pos="3368"/>
        </w:tabs>
        <w:spacing w:line="216" w:lineRule="atLeast"/>
        <w:rPr>
          <w:rFonts w:ascii="Calibri" w:hAnsi="Calibri" w:cs="Times New Roman"/>
          <w:sz w:val="18"/>
          <w:lang w:eastAsia="en-US"/>
        </w:rPr>
        <w:sectPr w:rsidR="00725902" w:rsidRPr="00725902" w:rsidSect="00236C96">
          <w:headerReference w:type="even" r:id="rId15"/>
          <w:headerReference w:type="default" r:id="rId16"/>
          <w:footerReference w:type="default" r:id="rId17"/>
          <w:headerReference w:type="first" r:id="rId18"/>
          <w:pgSz w:w="11906" w:h="16838" w:code="9"/>
          <w:pgMar w:top="567" w:right="794" w:bottom="567" w:left="907" w:header="567" w:footer="850" w:gutter="0"/>
          <w:pgNumType w:start="2"/>
          <w:cols w:space="708"/>
          <w:docGrid w:linePitch="360"/>
        </w:sectPr>
      </w:pPr>
      <w:r w:rsidRPr="00725902">
        <w:rPr>
          <w:rFonts w:ascii="Calibri" w:hAnsi="Calibri" w:cs="Times New Roman"/>
          <w:sz w:val="18"/>
          <w:lang w:eastAsia="en-US"/>
        </w:rPr>
        <w:tab/>
      </w:r>
    </w:p>
    <w:p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eastAsia="Times New Roman" w:hAnsi="Calibri" w:cs="Times New Roman"/>
          <w:noProof/>
          <w:color w:val="00558C"/>
          <w:szCs w:val="20"/>
          <w:lang w:eastAsia="en-US"/>
        </w:rPr>
        <w:lastRenderedPageBreak/>
        <w:fldChar w:fldCharType="begin"/>
      </w:r>
      <w:r w:rsidRPr="00725902">
        <w:rPr>
          <w:rFonts w:ascii="Calibri" w:eastAsia="Times New Roman" w:hAnsi="Calibri" w:cs="Times New Roman"/>
          <w:noProof/>
          <w:color w:val="00558C"/>
          <w:szCs w:val="20"/>
          <w:lang w:eastAsia="en-US"/>
        </w:rPr>
        <w:instrText xml:space="preserve"> TOC \o "1-3" \t "Annex,4,Appendix,5" </w:instrText>
      </w:r>
      <w:r w:rsidRPr="00725902">
        <w:rPr>
          <w:rFonts w:ascii="Calibri" w:eastAsia="Times New Roman" w:hAnsi="Calibri" w:cs="Times New Roman"/>
          <w:noProof/>
          <w:color w:val="00558C"/>
          <w:szCs w:val="20"/>
          <w:lang w:eastAsia="en-US"/>
        </w:rPr>
        <w:fldChar w:fldCharType="separate"/>
      </w:r>
      <w:r w:rsidRPr="00725902">
        <w:rPr>
          <w:rFonts w:ascii="Calibri" w:hAnsi="Calibri" w:cs="Times New Roman"/>
          <w:b/>
          <w:noProof/>
          <w:color w:val="00558C"/>
          <w:lang w:eastAsia="en-US"/>
        </w:rPr>
        <w:t>1</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INTRODUCTION</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_Toc518998568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2</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AIMS and OBJECTIVES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_Toc518998569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3</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BACKGROUND</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_Toc518998570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4</w:t>
      </w:r>
      <w:r w:rsidRPr="00725902">
        <w:rPr>
          <w:rFonts w:ascii="Calibri" w:hAnsi="Calibri" w:cs="Times New Roman"/>
          <w:b/>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3.1</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Vessel Traffic Services (VTS)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_Toc518998571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4</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3.2</w:t>
      </w:r>
      <w:r w:rsidRPr="00725902">
        <w:rPr>
          <w:rFonts w:ascii="Calibri" w:eastAsia="Times New Roman" w:hAnsi="Calibri" w:cs="Times New Roman"/>
          <w:noProof/>
          <w:lang w:val="en-AU" w:eastAsia="en-AU"/>
        </w:rPr>
        <w:tab/>
      </w:r>
      <w:r w:rsidR="00745790">
        <w:rPr>
          <w:rFonts w:ascii="Calibri" w:hAnsi="Calibri" w:cs="Times New Roman"/>
          <w:noProof/>
          <w:color w:val="00558C"/>
          <w:lang w:eastAsia="en-US"/>
        </w:rPr>
        <w:t>Local port services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_Toc518998572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5</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3.3</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Distinction between VTS and a Local Service</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_Toc518998573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5</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4</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 xml:space="preserve">PRINCIPLES FOR OPERATING </w:t>
      </w:r>
      <w:r w:rsidR="00745790">
        <w:rPr>
          <w:rFonts w:ascii="Calibri" w:hAnsi="Calibri" w:cs="Times New Roman"/>
          <w:b/>
          <w:noProof/>
          <w:color w:val="00558C"/>
          <w:lang w:eastAsia="en-US"/>
        </w:rPr>
        <w:t>LOCAL PORT SERVICES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_Toc518998574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6</w:t>
      </w:r>
      <w:r w:rsidRPr="00725902">
        <w:rPr>
          <w:rFonts w:ascii="Calibri" w:hAnsi="Calibri" w:cs="Times New Roman"/>
          <w:b/>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4.1</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Identifier</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_Toc518998575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6</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4.2</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Voice Communications</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_Toc518998576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4.3</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Promulgation</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_Toc518998577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709" w:right="425" w:hanging="709"/>
        <w:rPr>
          <w:rFonts w:ascii="Calibri" w:eastAsia="Times New Roman" w:hAnsi="Calibri" w:cs="Times New Roman"/>
          <w:noProof/>
          <w:lang w:val="en-AU" w:eastAsia="en-AU"/>
        </w:rPr>
      </w:pPr>
      <w:r w:rsidRPr="00725902">
        <w:rPr>
          <w:rFonts w:ascii="Calibri" w:hAnsi="Calibri" w:cs="Times New Roman"/>
          <w:noProof/>
          <w:color w:val="00558C"/>
          <w:lang w:eastAsia="en-US"/>
        </w:rPr>
        <w:t>4.4</w:t>
      </w:r>
      <w:r w:rsidRPr="00725902">
        <w:rPr>
          <w:rFonts w:ascii="Calibri" w:eastAsia="Times New Roman" w:hAnsi="Calibri" w:cs="Times New Roman"/>
          <w:noProof/>
          <w:lang w:val="en-AU" w:eastAsia="en-AU"/>
        </w:rPr>
        <w:tab/>
      </w:r>
      <w:r w:rsidRPr="00725902">
        <w:rPr>
          <w:rFonts w:ascii="Calibri" w:hAnsi="Calibri" w:cs="Times New Roman"/>
          <w:noProof/>
          <w:color w:val="00558C"/>
          <w:lang w:eastAsia="en-US"/>
        </w:rPr>
        <w:t>Qualifications and Training</w:t>
      </w:r>
      <w:r w:rsidRPr="00725902">
        <w:rPr>
          <w:rFonts w:ascii="Calibri" w:hAnsi="Calibri" w:cs="Times New Roman"/>
          <w:noProof/>
          <w:color w:val="00558C"/>
          <w:lang w:eastAsia="en-US"/>
        </w:rPr>
        <w:tab/>
      </w:r>
      <w:r w:rsidRPr="00725902">
        <w:rPr>
          <w:rFonts w:ascii="Calibri" w:hAnsi="Calibri" w:cs="Times New Roman"/>
          <w:noProof/>
          <w:color w:val="00558C"/>
          <w:lang w:eastAsia="en-US"/>
        </w:rPr>
        <w:fldChar w:fldCharType="begin"/>
      </w:r>
      <w:r w:rsidRPr="00725902">
        <w:rPr>
          <w:rFonts w:ascii="Calibri" w:hAnsi="Calibri" w:cs="Times New Roman"/>
          <w:noProof/>
          <w:color w:val="00558C"/>
          <w:lang w:eastAsia="en-US"/>
        </w:rPr>
        <w:instrText xml:space="preserve"> PAGEREF _Toc518998578 \h </w:instrText>
      </w:r>
      <w:r w:rsidRPr="00725902">
        <w:rPr>
          <w:rFonts w:ascii="Calibri" w:hAnsi="Calibri" w:cs="Times New Roman"/>
          <w:noProof/>
          <w:color w:val="00558C"/>
          <w:lang w:eastAsia="en-US"/>
        </w:rPr>
      </w:r>
      <w:r w:rsidRPr="00725902">
        <w:rPr>
          <w:rFonts w:ascii="Calibri" w:hAnsi="Calibri" w:cs="Times New Roman"/>
          <w:noProof/>
          <w:color w:val="00558C"/>
          <w:lang w:eastAsia="en-US"/>
        </w:rPr>
        <w:fldChar w:fldCharType="separate"/>
      </w:r>
      <w:r w:rsidRPr="00725902">
        <w:rPr>
          <w:rFonts w:ascii="Calibri" w:hAnsi="Calibri" w:cs="Times New Roman"/>
          <w:noProof/>
          <w:color w:val="00558C"/>
          <w:lang w:eastAsia="en-US"/>
        </w:rPr>
        <w:t>7</w:t>
      </w:r>
      <w:r w:rsidRPr="00725902">
        <w:rPr>
          <w:rFonts w:ascii="Calibri" w:hAnsi="Calibri" w:cs="Times New Roman"/>
          <w:noProof/>
          <w:color w:val="00558C"/>
          <w:lang w:eastAsia="en-US"/>
        </w:rPr>
        <w:fldChar w:fldCharType="end"/>
      </w:r>
    </w:p>
    <w:p w:rsidR="00725902" w:rsidRPr="00725902" w:rsidRDefault="00725902" w:rsidP="00725902">
      <w:pPr>
        <w:tabs>
          <w:tab w:val="right" w:leader="dot" w:pos="9781"/>
        </w:tabs>
        <w:spacing w:after="40" w:line="300" w:lineRule="atLeast"/>
        <w:ind w:left="425" w:right="425" w:hanging="425"/>
        <w:rPr>
          <w:rFonts w:ascii="Calibri" w:eastAsia="Times New Roman" w:hAnsi="Calibri" w:cs="Times New Roman"/>
          <w:noProof/>
          <w:lang w:val="en-AU" w:eastAsia="en-AU"/>
        </w:rPr>
      </w:pPr>
      <w:r w:rsidRPr="00725902">
        <w:rPr>
          <w:rFonts w:ascii="Calibri" w:hAnsi="Calibri" w:cs="Times New Roman"/>
          <w:b/>
          <w:noProof/>
          <w:color w:val="00558C"/>
          <w:lang w:eastAsia="en-US"/>
        </w:rPr>
        <w:t>5</w:t>
      </w:r>
      <w:r w:rsidRPr="00725902">
        <w:rPr>
          <w:rFonts w:ascii="Calibri" w:eastAsia="Times New Roman" w:hAnsi="Calibri" w:cs="Times New Roman"/>
          <w:noProof/>
          <w:lang w:val="en-AU" w:eastAsia="en-AU"/>
        </w:rPr>
        <w:tab/>
      </w:r>
      <w:r w:rsidRPr="00725902">
        <w:rPr>
          <w:rFonts w:ascii="Calibri" w:hAnsi="Calibri" w:cs="Times New Roman"/>
          <w:b/>
          <w:noProof/>
          <w:color w:val="00558C"/>
          <w:lang w:eastAsia="en-US"/>
        </w:rPr>
        <w:t>OTHER CONSIDERATIONS</w:t>
      </w:r>
      <w:r w:rsidRPr="00725902">
        <w:rPr>
          <w:rFonts w:ascii="Calibri" w:hAnsi="Calibri" w:cs="Times New Roman"/>
          <w:b/>
          <w:noProof/>
          <w:color w:val="00558C"/>
          <w:lang w:eastAsia="en-US"/>
        </w:rPr>
        <w:tab/>
      </w:r>
      <w:r w:rsidRPr="00725902">
        <w:rPr>
          <w:rFonts w:ascii="Calibri" w:hAnsi="Calibri" w:cs="Times New Roman"/>
          <w:b/>
          <w:noProof/>
          <w:color w:val="00558C"/>
          <w:lang w:eastAsia="en-US"/>
        </w:rPr>
        <w:fldChar w:fldCharType="begin"/>
      </w:r>
      <w:r w:rsidRPr="00725902">
        <w:rPr>
          <w:rFonts w:ascii="Calibri" w:hAnsi="Calibri" w:cs="Times New Roman"/>
          <w:b/>
          <w:noProof/>
          <w:color w:val="00558C"/>
          <w:lang w:eastAsia="en-US"/>
        </w:rPr>
        <w:instrText xml:space="preserve"> PAGEREF _Toc518998579 \h </w:instrText>
      </w:r>
      <w:r w:rsidRPr="00725902">
        <w:rPr>
          <w:rFonts w:ascii="Calibri" w:hAnsi="Calibri" w:cs="Times New Roman"/>
          <w:b/>
          <w:noProof/>
          <w:color w:val="00558C"/>
          <w:lang w:eastAsia="en-US"/>
        </w:rPr>
      </w:r>
      <w:r w:rsidRPr="00725902">
        <w:rPr>
          <w:rFonts w:ascii="Calibri" w:hAnsi="Calibri" w:cs="Times New Roman"/>
          <w:b/>
          <w:noProof/>
          <w:color w:val="00558C"/>
          <w:lang w:eastAsia="en-US"/>
        </w:rPr>
        <w:fldChar w:fldCharType="separate"/>
      </w:r>
      <w:r w:rsidRPr="00725902">
        <w:rPr>
          <w:rFonts w:ascii="Calibri" w:hAnsi="Calibri" w:cs="Times New Roman"/>
          <w:b/>
          <w:noProof/>
          <w:color w:val="00558C"/>
          <w:lang w:eastAsia="en-US"/>
        </w:rPr>
        <w:t>7</w:t>
      </w:r>
      <w:r w:rsidRPr="00725902">
        <w:rPr>
          <w:rFonts w:ascii="Calibri" w:hAnsi="Calibri" w:cs="Times New Roman"/>
          <w:b/>
          <w:noProof/>
          <w:color w:val="00558C"/>
          <w:lang w:eastAsia="en-US"/>
        </w:rPr>
        <w:fldChar w:fldCharType="end"/>
      </w:r>
    </w:p>
    <w:p w:rsidR="00725902" w:rsidRPr="00725902" w:rsidRDefault="00725902" w:rsidP="00725902">
      <w:pPr>
        <w:spacing w:line="216" w:lineRule="atLeast"/>
        <w:rPr>
          <w:rFonts w:ascii="Calibri" w:hAnsi="Calibri" w:cs="Times New Roman"/>
          <w:noProof/>
          <w:sz w:val="18"/>
          <w:lang w:eastAsia="en-US"/>
        </w:rPr>
      </w:pPr>
      <w:r w:rsidRPr="00725902">
        <w:rPr>
          <w:rFonts w:ascii="Calibri" w:hAnsi="Calibri" w:cs="Times New Roman"/>
          <w:noProof/>
          <w:sz w:val="18"/>
          <w:lang w:eastAsia="en-US"/>
        </w:rPr>
        <w:fldChar w:fldCharType="end"/>
      </w:r>
    </w:p>
    <w:p w:rsidR="00725902" w:rsidRPr="00725902" w:rsidRDefault="00725902" w:rsidP="00725902">
      <w:pPr>
        <w:spacing w:line="216" w:lineRule="atLeast"/>
        <w:rPr>
          <w:rFonts w:ascii="Calibri" w:hAnsi="Calibri" w:cs="Times New Roman"/>
          <w:sz w:val="18"/>
          <w:lang w:eastAsia="en-US"/>
        </w:rPr>
      </w:pPr>
    </w:p>
    <w:p w:rsidR="00725902" w:rsidRPr="00725902" w:rsidRDefault="00725902" w:rsidP="00725902">
      <w:pPr>
        <w:tabs>
          <w:tab w:val="left" w:pos="3844"/>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rsidR="00725902" w:rsidRPr="00725902" w:rsidRDefault="00725902" w:rsidP="00725902">
      <w:pPr>
        <w:tabs>
          <w:tab w:val="left" w:pos="3844"/>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rsidR="00725902" w:rsidRPr="00725902" w:rsidRDefault="00725902" w:rsidP="00725902">
      <w:pPr>
        <w:spacing w:line="216" w:lineRule="atLeast"/>
        <w:rPr>
          <w:rFonts w:ascii="Calibri" w:hAnsi="Calibri" w:cs="Times New Roman"/>
          <w:sz w:val="18"/>
          <w:lang w:val="fr-FR" w:eastAsia="en-US"/>
        </w:rPr>
      </w:pPr>
    </w:p>
    <w:p w:rsidR="00725902" w:rsidRPr="00725902" w:rsidRDefault="00725902" w:rsidP="00725902">
      <w:pPr>
        <w:tabs>
          <w:tab w:val="left" w:pos="3890"/>
        </w:tabs>
        <w:spacing w:line="216" w:lineRule="atLeast"/>
        <w:rPr>
          <w:rFonts w:ascii="Calibri" w:hAnsi="Calibri" w:cs="Times New Roman"/>
          <w:sz w:val="18"/>
          <w:lang w:val="fr-FR" w:eastAsia="en-US"/>
        </w:rPr>
      </w:pPr>
      <w:r w:rsidRPr="00725902">
        <w:rPr>
          <w:rFonts w:ascii="Calibri" w:hAnsi="Calibri" w:cs="Times New Roman"/>
          <w:sz w:val="18"/>
          <w:lang w:val="fr-FR" w:eastAsia="en-US"/>
        </w:rPr>
        <w:tab/>
      </w:r>
    </w:p>
    <w:p w:rsidR="00725902" w:rsidRPr="00725902" w:rsidRDefault="00725902" w:rsidP="00725902">
      <w:pPr>
        <w:tabs>
          <w:tab w:val="left" w:pos="3890"/>
        </w:tabs>
        <w:spacing w:line="216" w:lineRule="atLeast"/>
        <w:rPr>
          <w:rFonts w:ascii="Calibri" w:hAnsi="Calibri" w:cs="Times New Roman"/>
          <w:sz w:val="18"/>
          <w:lang w:val="fr-FR" w:eastAsia="en-US"/>
        </w:rPr>
        <w:sectPr w:rsidR="00725902" w:rsidRPr="00725902" w:rsidSect="00065942">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sidRPr="00725902">
        <w:rPr>
          <w:rFonts w:ascii="Calibri" w:hAnsi="Calibri" w:cs="Times New Roman"/>
          <w:sz w:val="18"/>
          <w:lang w:val="fr-FR" w:eastAsia="en-US"/>
        </w:rPr>
        <w:tab/>
      </w:r>
    </w:p>
    <w:p w:rsidR="00725902" w:rsidRPr="00236C96" w:rsidRDefault="00725902" w:rsidP="005E3508">
      <w:pPr>
        <w:pStyle w:val="Heading1"/>
        <w:keepLines/>
        <w:numPr>
          <w:ilvl w:val="0"/>
          <w:numId w:val="28"/>
        </w:numPr>
        <w:tabs>
          <w:tab w:val="num" w:pos="360"/>
        </w:tabs>
        <w:spacing w:line="240" w:lineRule="atLeast"/>
        <w:rPr>
          <w:rFonts w:eastAsia="Times New Roman" w:cs="Times New Roman"/>
          <w:bCs/>
          <w:color w:val="407EC9"/>
          <w:sz w:val="28"/>
          <w:szCs w:val="24"/>
          <w:lang w:eastAsia="en-US"/>
        </w:rPr>
      </w:pPr>
      <w:bookmarkStart w:id="2" w:name="_Toc518998568"/>
      <w:r w:rsidRPr="00236C96">
        <w:rPr>
          <w:rFonts w:eastAsia="Times New Roman" w:cs="Times New Roman"/>
          <w:bCs/>
          <w:color w:val="407EC9"/>
          <w:sz w:val="28"/>
          <w:szCs w:val="24"/>
          <w:lang w:eastAsia="en-US"/>
        </w:rPr>
        <w:lastRenderedPageBreak/>
        <w:t>INTRODUCTION</w:t>
      </w:r>
      <w:bookmarkEnd w:id="2"/>
    </w:p>
    <w:p w:rsidR="00725902" w:rsidRPr="00725902" w:rsidRDefault="00725902" w:rsidP="00236C96">
      <w:pPr>
        <w:pBdr>
          <w:bottom w:val="single" w:sz="8" w:space="1" w:color="00558C"/>
        </w:pBdr>
        <w:spacing w:after="120" w:line="90" w:lineRule="exact"/>
        <w:ind w:left="360" w:right="8789"/>
        <w:rPr>
          <w:rFonts w:ascii="Calibri" w:hAnsi="Calibri" w:cs="Times New Roman"/>
          <w:color w:val="000000"/>
          <w:lang w:eastAsia="en-US"/>
        </w:rPr>
      </w:pP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There are many waterways where the </w:t>
      </w:r>
      <w:r w:rsidR="00146698">
        <w:rPr>
          <w:rFonts w:ascii="Calibri" w:hAnsi="Calibri" w:cs="Times New Roman"/>
          <w:lang w:eastAsia="en-US"/>
        </w:rPr>
        <w:t xml:space="preserve">Contracting </w:t>
      </w:r>
      <w:r w:rsidRPr="00725902">
        <w:rPr>
          <w:rFonts w:ascii="Calibri" w:hAnsi="Calibri" w:cs="Times New Roman"/>
          <w:lang w:eastAsia="en-US"/>
        </w:rPr>
        <w:t>Government</w:t>
      </w:r>
      <w:r w:rsidR="002C3548">
        <w:rPr>
          <w:rFonts w:ascii="Calibri" w:hAnsi="Calibri" w:cs="Times New Roman"/>
          <w:lang w:eastAsia="en-US"/>
        </w:rPr>
        <w:t>(</w:t>
      </w:r>
      <w:r w:rsidRPr="00725902">
        <w:rPr>
          <w:rFonts w:ascii="Calibri" w:hAnsi="Calibri" w:cs="Times New Roman"/>
          <w:lang w:eastAsia="en-US"/>
        </w:rPr>
        <w:t>s</w:t>
      </w:r>
      <w:r w:rsidR="002C3548">
        <w:rPr>
          <w:rFonts w:ascii="Calibri" w:hAnsi="Calibri" w:cs="Times New Roman"/>
          <w:lang w:eastAsia="en-US"/>
        </w:rPr>
        <w:t>)</w:t>
      </w:r>
      <w:r w:rsidRPr="00725902">
        <w:rPr>
          <w:rFonts w:ascii="Calibri" w:hAnsi="Calibri" w:cs="Times New Roman"/>
          <w:lang w:eastAsia="en-US"/>
        </w:rPr>
        <w:t xml:space="preserve"> are of the opinion that the volume of traffic or the degree of risk does not justify exercising their rights under the International Convention on the Safety of Life at Sea 74/78 (SOLAS) to establish Vessel Traffic Services (VTS).  </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Where a VTS is not required</w:t>
      </w:r>
      <w:r w:rsidR="00A17439">
        <w:rPr>
          <w:rFonts w:ascii="Calibri" w:hAnsi="Calibri" w:cs="Times New Roman"/>
          <w:lang w:eastAsia="en-US"/>
        </w:rPr>
        <w:t>,</w:t>
      </w:r>
      <w:r w:rsidRPr="00725902">
        <w:rPr>
          <w:rFonts w:ascii="Calibri" w:hAnsi="Calibri" w:cs="Times New Roman"/>
          <w:lang w:eastAsia="en-US"/>
        </w:rPr>
        <w:t xml:space="preserve"> other measures </w:t>
      </w:r>
      <w:r w:rsidR="002C3548">
        <w:rPr>
          <w:rFonts w:ascii="Calibri" w:hAnsi="Calibri" w:cs="Times New Roman"/>
          <w:lang w:eastAsia="en-US"/>
        </w:rPr>
        <w:t>may be</w:t>
      </w:r>
      <w:r w:rsidRPr="00725902">
        <w:rPr>
          <w:rFonts w:ascii="Calibri" w:hAnsi="Calibri" w:cs="Times New Roman"/>
          <w:lang w:eastAsia="en-US"/>
        </w:rPr>
        <w:t xml:space="preserve"> implemented to attain the </w:t>
      </w:r>
      <w:r w:rsidR="002C3548">
        <w:rPr>
          <w:rFonts w:ascii="Calibri" w:hAnsi="Calibri" w:cs="Times New Roman"/>
          <w:lang w:eastAsia="en-US"/>
        </w:rPr>
        <w:t>expected</w:t>
      </w:r>
      <w:r w:rsidRPr="00725902">
        <w:rPr>
          <w:rFonts w:ascii="Calibri" w:hAnsi="Calibri" w:cs="Times New Roman"/>
          <w:lang w:eastAsia="en-US"/>
        </w:rPr>
        <w:t xml:space="preserve"> level of safety and efficiency of the maritime traffic in the area, noting the associated volume of traffic and degree of risk.  Such measures </w:t>
      </w:r>
      <w:r w:rsidR="004753BB">
        <w:rPr>
          <w:rFonts w:ascii="Calibri" w:hAnsi="Calibri" w:cs="Times New Roman"/>
          <w:lang w:eastAsia="en-US"/>
        </w:rPr>
        <w:t xml:space="preserve">may </w:t>
      </w:r>
      <w:r w:rsidRPr="00725902">
        <w:rPr>
          <w:rFonts w:ascii="Calibri" w:hAnsi="Calibri" w:cs="Times New Roman"/>
          <w:lang w:eastAsia="en-US"/>
        </w:rPr>
        <w:t>include:</w:t>
      </w:r>
    </w:p>
    <w:p w:rsidR="00725902" w:rsidRPr="00725902" w:rsidRDefault="00725902" w:rsidP="005E3508">
      <w:pPr>
        <w:numPr>
          <w:ilvl w:val="0"/>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Passive traffic management measures such as:</w:t>
      </w:r>
    </w:p>
    <w:p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Improvements to visual and radio aids to navigation</w:t>
      </w:r>
    </w:p>
    <w:p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Pilotage for all or certain categories of vessels</w:t>
      </w:r>
    </w:p>
    <w:p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Space allocation policy for distinctive maritime user functions, incorporated, if necessary, in local by-laws, etc.</w:t>
      </w:r>
    </w:p>
    <w:p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Ships’ routeing measures, on the basis of SOLAS V/10 and its associated IMO resolution A.572(14)</w:t>
      </w:r>
      <w:r w:rsidR="003A0FE2" w:rsidRPr="002548BB">
        <w:rPr>
          <w:rStyle w:val="FootnoteReference"/>
          <w:rFonts w:cs="Times New Roman"/>
          <w:vertAlign w:val="superscript"/>
          <w:lang w:eastAsia="en-US"/>
        </w:rPr>
        <w:footnoteReference w:id="1"/>
      </w:r>
      <w:r w:rsidRPr="002548BB">
        <w:rPr>
          <w:rFonts w:ascii="Calibri" w:hAnsi="Calibri" w:cs="Times New Roman"/>
          <w:vertAlign w:val="superscript"/>
          <w:lang w:eastAsia="en-US"/>
        </w:rPr>
        <w:t xml:space="preserve"> </w:t>
      </w:r>
      <w:r w:rsidRPr="00725902">
        <w:rPr>
          <w:rFonts w:ascii="Calibri" w:hAnsi="Calibri" w:cs="Times New Roman"/>
          <w:lang w:eastAsia="en-US"/>
        </w:rPr>
        <w:t>as amended</w:t>
      </w:r>
    </w:p>
    <w:p w:rsidR="00725902" w:rsidRPr="00725902" w:rsidRDefault="00725902" w:rsidP="005E3508">
      <w:pPr>
        <w:numPr>
          <w:ilvl w:val="1"/>
          <w:numId w:val="23"/>
        </w:numPr>
        <w:spacing w:before="60" w:after="60" w:line="216" w:lineRule="atLeast"/>
        <w:ind w:hanging="357"/>
        <w:rPr>
          <w:rFonts w:ascii="Calibri" w:hAnsi="Calibri" w:cs="Times New Roman"/>
          <w:lang w:eastAsia="en-US"/>
        </w:rPr>
      </w:pPr>
      <w:r w:rsidRPr="00725902">
        <w:rPr>
          <w:rFonts w:ascii="Calibri" w:hAnsi="Calibri" w:cs="Times New Roman"/>
          <w:lang w:eastAsia="en-US"/>
        </w:rPr>
        <w:t xml:space="preserve">Ship reporting on the basis of SOLAS V/11 and </w:t>
      </w:r>
      <w:r w:rsidR="003A0FE2">
        <w:rPr>
          <w:rFonts w:ascii="Calibri" w:hAnsi="Calibri" w:cs="Times New Roman"/>
          <w:lang w:eastAsia="en-US"/>
        </w:rPr>
        <w:t>the</w:t>
      </w:r>
      <w:r w:rsidRPr="00725902">
        <w:rPr>
          <w:rFonts w:ascii="Calibri" w:hAnsi="Calibri" w:cs="Times New Roman"/>
          <w:lang w:eastAsia="en-US"/>
        </w:rPr>
        <w:t xml:space="preserve"> associated IMO resolutions</w:t>
      </w:r>
      <w:r w:rsidR="003A0FE2" w:rsidRPr="003A0FE2">
        <w:t xml:space="preserve"> </w:t>
      </w:r>
      <w:proofErr w:type="gramStart"/>
      <w:r w:rsidR="003A0FE2" w:rsidRPr="003A0FE2">
        <w:rPr>
          <w:rFonts w:ascii="Calibri" w:hAnsi="Calibri" w:cs="Times New Roman"/>
          <w:lang w:eastAsia="en-US"/>
        </w:rPr>
        <w:t>A.851(</w:t>
      </w:r>
      <w:proofErr w:type="gramEnd"/>
      <w:r w:rsidR="003A0FE2" w:rsidRPr="003A0FE2">
        <w:rPr>
          <w:rFonts w:ascii="Calibri" w:hAnsi="Calibri" w:cs="Times New Roman"/>
          <w:lang w:eastAsia="en-US"/>
        </w:rPr>
        <w:t>20)</w:t>
      </w:r>
      <w:r w:rsidR="003A0FE2" w:rsidRPr="002548BB">
        <w:rPr>
          <w:rStyle w:val="FootnoteReference"/>
          <w:rFonts w:cs="Times New Roman"/>
          <w:vertAlign w:val="superscript"/>
          <w:lang w:eastAsia="en-US"/>
        </w:rPr>
        <w:footnoteReference w:id="2"/>
      </w:r>
      <w:r w:rsidRPr="00725902">
        <w:rPr>
          <w:rFonts w:ascii="Calibri" w:hAnsi="Calibri" w:cs="Times New Roman"/>
          <w:lang w:eastAsia="en-US"/>
        </w:rPr>
        <w:t xml:space="preserve"> and </w:t>
      </w:r>
      <w:r w:rsidR="003B4C72" w:rsidRPr="003B4C72">
        <w:rPr>
          <w:rFonts w:ascii="Calibri" w:hAnsi="Calibri" w:cs="Times New Roman"/>
          <w:lang w:eastAsia="en-US"/>
        </w:rPr>
        <w:t>MSC.433(98)</w:t>
      </w:r>
      <w:r w:rsidR="003B4C72" w:rsidRPr="002548BB">
        <w:rPr>
          <w:rStyle w:val="FootnoteReference"/>
          <w:rFonts w:cs="Times New Roman"/>
          <w:vertAlign w:val="superscript"/>
          <w:lang w:eastAsia="en-US"/>
        </w:rPr>
        <w:footnoteReference w:id="3"/>
      </w:r>
      <w:r w:rsidRPr="00725902">
        <w:rPr>
          <w:rFonts w:ascii="Calibri" w:hAnsi="Calibri" w:cs="Times New Roman"/>
          <w:lang w:eastAsia="en-US"/>
        </w:rPr>
        <w:t>.</w:t>
      </w:r>
    </w:p>
    <w:p w:rsidR="00725902" w:rsidRPr="00725902" w:rsidRDefault="00725902" w:rsidP="005E3508">
      <w:pPr>
        <w:numPr>
          <w:ilvl w:val="0"/>
          <w:numId w:val="23"/>
        </w:numPr>
        <w:spacing w:after="120" w:line="259" w:lineRule="auto"/>
        <w:ind w:left="709"/>
        <w:rPr>
          <w:rFonts w:ascii="Calibri" w:hAnsi="Calibri" w:cs="Times New Roman"/>
          <w:lang w:eastAsia="en-US"/>
        </w:rPr>
      </w:pPr>
      <w:r w:rsidRPr="00725902">
        <w:rPr>
          <w:rFonts w:ascii="Calibri" w:hAnsi="Calibri" w:cs="Times New Roman"/>
          <w:lang w:eastAsia="en-US"/>
        </w:rPr>
        <w:t xml:space="preserve">Provision of </w:t>
      </w:r>
      <w:r w:rsidR="00745790">
        <w:rPr>
          <w:rFonts w:ascii="Calibri" w:hAnsi="Calibri" w:cs="Times New Roman"/>
          <w:lang w:eastAsia="en-US"/>
        </w:rPr>
        <w:t>local port services</w:t>
      </w:r>
      <w:r w:rsidRPr="00725902">
        <w:rPr>
          <w:rFonts w:ascii="Calibri" w:hAnsi="Calibri" w:cs="Times New Roman"/>
          <w:lang w:eastAsia="en-US"/>
        </w:rPr>
        <w:t xml:space="preserve"> for co-ordination of services within the area by dissemination of information to vessels, berth or terminal operators and other stakeholders.  These </w:t>
      </w:r>
      <w:r w:rsidR="00745790">
        <w:rPr>
          <w:rFonts w:ascii="Calibri" w:hAnsi="Calibri" w:cs="Times New Roman"/>
          <w:lang w:eastAsia="en-US"/>
        </w:rPr>
        <w:t>local port services</w:t>
      </w:r>
      <w:r w:rsidRPr="00725902">
        <w:rPr>
          <w:rFonts w:ascii="Calibri" w:hAnsi="Calibri" w:cs="Times New Roman"/>
          <w:lang w:eastAsia="en-US"/>
        </w:rPr>
        <w:t xml:space="preserve"> are often described in terms such as “Local Port Services”, “Port Control” or “Harbour Control”.</w:t>
      </w:r>
    </w:p>
    <w:p w:rsidR="00725902" w:rsidRPr="00725902" w:rsidRDefault="00725902" w:rsidP="005E3508">
      <w:pPr>
        <w:numPr>
          <w:ilvl w:val="0"/>
          <w:numId w:val="23"/>
        </w:numPr>
        <w:spacing w:after="120" w:line="259" w:lineRule="auto"/>
        <w:rPr>
          <w:rFonts w:ascii="Calibri" w:hAnsi="Calibri" w:cs="Times New Roman"/>
          <w:lang w:eastAsia="en-US"/>
        </w:rPr>
      </w:pPr>
      <w:r w:rsidRPr="00725902">
        <w:rPr>
          <w:rFonts w:ascii="Calibri" w:hAnsi="Calibri" w:cs="Times New Roman"/>
          <w:lang w:eastAsia="en-US"/>
        </w:rPr>
        <w:t>A combination of the above.</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Passive traffic management measures do not involve communication/interaction with the mariner from the shore.  </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In contrast, </w:t>
      </w:r>
      <w:r w:rsidR="00745790">
        <w:rPr>
          <w:rFonts w:ascii="Calibri" w:hAnsi="Calibri" w:cs="Times New Roman"/>
          <w:lang w:eastAsia="en-US"/>
        </w:rPr>
        <w:t>local port services</w:t>
      </w:r>
      <w:r w:rsidRPr="00725902">
        <w:rPr>
          <w:rFonts w:ascii="Calibri" w:hAnsi="Calibri" w:cs="Times New Roman"/>
          <w:lang w:eastAsia="en-US"/>
        </w:rPr>
        <w:t xml:space="preserve"> generally involve voice communication between the entity ashore and the mariner.   In these situations, it is important that mariners are in no doubt as to whether they are communicating with a VTS, which can be expected to provide all the associated functions of a VTS, or whether they are communicating with an entity providing only information concerned with the management of the port or facility.  It is unlikely that staff operating </w:t>
      </w:r>
      <w:r w:rsidR="00745790">
        <w:rPr>
          <w:rFonts w:ascii="Calibri" w:hAnsi="Calibri" w:cs="Times New Roman"/>
          <w:lang w:eastAsia="en-US"/>
        </w:rPr>
        <w:t>local port services</w:t>
      </w:r>
      <w:r w:rsidRPr="00725902">
        <w:rPr>
          <w:rFonts w:ascii="Calibri" w:hAnsi="Calibri" w:cs="Times New Roman"/>
          <w:lang w:eastAsia="en-US"/>
        </w:rPr>
        <w:t xml:space="preserve"> will have been trained to the standards required by VTS.</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It is, therefore, considered best practice for Contracting Governments/Competent Authorities to ensure that a clear differentiation exists between VTS and </w:t>
      </w:r>
      <w:r w:rsidR="00745790">
        <w:rPr>
          <w:rFonts w:ascii="Calibri" w:hAnsi="Calibri" w:cs="Times New Roman"/>
          <w:lang w:eastAsia="en-US"/>
        </w:rPr>
        <w:t>local port services</w:t>
      </w:r>
      <w:r w:rsidRPr="00725902">
        <w:rPr>
          <w:rFonts w:ascii="Calibri" w:hAnsi="Calibri" w:cs="Times New Roman"/>
          <w:lang w:eastAsia="en-US"/>
        </w:rPr>
        <w:t>, and that this is clearly communicated to mariners.</w:t>
      </w:r>
    </w:p>
    <w:p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3" w:name="_Toc518998569"/>
      <w:r w:rsidRPr="00725902">
        <w:rPr>
          <w:rFonts w:ascii="Calibri" w:eastAsia="Times New Roman" w:hAnsi="Calibri" w:cs="Times New Roman"/>
          <w:b/>
          <w:bCs/>
          <w:caps/>
          <w:color w:val="407EC9"/>
          <w:sz w:val="28"/>
          <w:szCs w:val="24"/>
          <w:lang w:eastAsia="en-US"/>
        </w:rPr>
        <w:t>AIMS and OBJECTIVES</w:t>
      </w:r>
      <w:bookmarkEnd w:id="3"/>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aim of this document is to provide guidance to:</w:t>
      </w:r>
    </w:p>
    <w:p w:rsidR="00725902" w:rsidRPr="00725902" w:rsidRDefault="00725902" w:rsidP="005E3508">
      <w:pPr>
        <w:numPr>
          <w:ilvl w:val="0"/>
          <w:numId w:val="20"/>
        </w:numPr>
        <w:spacing w:after="120" w:line="216" w:lineRule="atLeast"/>
        <w:rPr>
          <w:rFonts w:ascii="Calibri" w:hAnsi="Calibri" w:cs="Times New Roman"/>
          <w:lang w:eastAsia="en-US"/>
        </w:rPr>
      </w:pPr>
      <w:r w:rsidRPr="00725902">
        <w:rPr>
          <w:rFonts w:ascii="Calibri" w:hAnsi="Calibri" w:cs="Times New Roman"/>
          <w:lang w:eastAsia="en-US"/>
        </w:rPr>
        <w:t>Assist Governments/Competent Aut</w:t>
      </w:r>
      <w:r w:rsidR="00C76179">
        <w:rPr>
          <w:rFonts w:ascii="Calibri" w:hAnsi="Calibri" w:cs="Times New Roman"/>
          <w:lang w:eastAsia="en-US"/>
        </w:rPr>
        <w:t xml:space="preserve">horities to ensure the difference </w:t>
      </w:r>
      <w:r w:rsidRPr="00725902">
        <w:rPr>
          <w:rFonts w:ascii="Calibri" w:hAnsi="Calibri" w:cs="Times New Roman"/>
          <w:lang w:eastAsia="en-US"/>
        </w:rPr>
        <w:t>between VTS an</w:t>
      </w:r>
      <w:r w:rsidR="00C76179">
        <w:rPr>
          <w:rFonts w:ascii="Calibri" w:hAnsi="Calibri" w:cs="Times New Roman"/>
          <w:lang w:eastAsia="en-US"/>
        </w:rPr>
        <w:t xml:space="preserve">d </w:t>
      </w:r>
      <w:r w:rsidR="00745790">
        <w:rPr>
          <w:rFonts w:ascii="Calibri" w:hAnsi="Calibri" w:cs="Times New Roman"/>
          <w:lang w:eastAsia="en-US"/>
        </w:rPr>
        <w:t>local port services</w:t>
      </w:r>
      <w:r w:rsidR="00C76179">
        <w:rPr>
          <w:rFonts w:ascii="Calibri" w:hAnsi="Calibri" w:cs="Times New Roman"/>
          <w:lang w:eastAsia="en-US"/>
        </w:rPr>
        <w:t xml:space="preserve"> </w:t>
      </w:r>
      <w:r w:rsidRPr="00725902">
        <w:rPr>
          <w:rFonts w:ascii="Calibri" w:hAnsi="Calibri" w:cs="Times New Roman"/>
          <w:lang w:eastAsia="en-US"/>
        </w:rPr>
        <w:t>is clearly communicated to mariners, allied services and other stakeholders.</w:t>
      </w:r>
    </w:p>
    <w:p w:rsidR="00725902" w:rsidRPr="00725902" w:rsidRDefault="00725902" w:rsidP="005E3508">
      <w:pPr>
        <w:numPr>
          <w:ilvl w:val="0"/>
          <w:numId w:val="20"/>
        </w:numPr>
        <w:spacing w:after="120" w:line="216" w:lineRule="atLeast"/>
        <w:rPr>
          <w:rFonts w:ascii="Calibri" w:hAnsi="Calibri" w:cs="Times New Roman"/>
          <w:lang w:eastAsia="en-US"/>
        </w:rPr>
      </w:pPr>
      <w:r w:rsidRPr="00725902">
        <w:rPr>
          <w:rFonts w:ascii="Calibri" w:hAnsi="Calibri" w:cs="Times New Roman"/>
          <w:lang w:eastAsia="en-US"/>
        </w:rPr>
        <w:t xml:space="preserve">Assist entities operating </w:t>
      </w:r>
      <w:r w:rsidR="00745790">
        <w:rPr>
          <w:rFonts w:ascii="Calibri" w:hAnsi="Calibri" w:cs="Times New Roman"/>
          <w:lang w:eastAsia="en-US"/>
        </w:rPr>
        <w:t>local port services</w:t>
      </w:r>
      <w:r w:rsidRPr="00725902">
        <w:rPr>
          <w:rFonts w:ascii="Calibri" w:hAnsi="Calibri" w:cs="Times New Roman"/>
          <w:lang w:eastAsia="en-US"/>
        </w:rPr>
        <w:t xml:space="preserve"> to enhance efficiency and safety in a globally harmonised manner</w:t>
      </w:r>
      <w:r w:rsidR="00C76179">
        <w:rPr>
          <w:rFonts w:ascii="Calibri" w:hAnsi="Calibri" w:cs="Times New Roman"/>
          <w:lang w:eastAsia="en-US"/>
        </w:rPr>
        <w:t>.</w:t>
      </w:r>
    </w:p>
    <w:p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4" w:name="_Toc518998570"/>
      <w:r w:rsidRPr="00725902">
        <w:rPr>
          <w:rFonts w:ascii="Calibri" w:eastAsia="Times New Roman" w:hAnsi="Calibri" w:cs="Times New Roman"/>
          <w:b/>
          <w:bCs/>
          <w:color w:val="407EC9"/>
          <w:sz w:val="28"/>
          <w:szCs w:val="24"/>
          <w:lang w:eastAsia="en-US"/>
        </w:rPr>
        <w:lastRenderedPageBreak/>
        <w:t>BACKGROUND</w:t>
      </w:r>
      <w:bookmarkEnd w:id="4"/>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5" w:name="_Toc518998571"/>
      <w:r w:rsidRPr="00725902">
        <w:rPr>
          <w:rFonts w:ascii="Calibri" w:eastAsia="Times New Roman" w:hAnsi="Calibri" w:cs="Times New Roman"/>
          <w:b/>
          <w:bCs/>
          <w:caps/>
          <w:color w:val="407EC9"/>
          <w:sz w:val="24"/>
          <w:szCs w:val="24"/>
          <w:lang w:eastAsia="en-US"/>
        </w:rPr>
        <w:t>Vessel Traffic Services (VTS)</w:t>
      </w:r>
      <w:bookmarkEnd w:id="5"/>
    </w:p>
    <w:p w:rsidR="003B4C72" w:rsidRDefault="00A17439" w:rsidP="00725902">
      <w:pPr>
        <w:spacing w:after="120" w:line="216" w:lineRule="atLeast"/>
        <w:rPr>
          <w:rFonts w:ascii="Calibri" w:hAnsi="Calibri" w:cs="Times New Roman"/>
          <w:lang w:eastAsia="en-US"/>
        </w:rPr>
      </w:pPr>
      <w:r>
        <w:rPr>
          <w:rFonts w:ascii="Calibri" w:hAnsi="Calibri" w:cs="Times New Roman"/>
          <w:lang w:eastAsia="en-US"/>
        </w:rPr>
        <w:t xml:space="preserve">A </w:t>
      </w:r>
      <w:r w:rsidR="003B4C72" w:rsidRPr="003B4C72">
        <w:rPr>
          <w:rFonts w:ascii="Calibri" w:hAnsi="Calibri" w:cs="Times New Roman"/>
          <w:lang w:eastAsia="en-US"/>
        </w:rPr>
        <w:t>Vessel Traffic Service is a service implemented by a Competent Authority and should have the capability to interact with the traffic and to respond to traffic situations developing in the VTS area.</w:t>
      </w:r>
    </w:p>
    <w:p w:rsidR="00725902" w:rsidRPr="00725902" w:rsidRDefault="00A17439" w:rsidP="00725902">
      <w:pPr>
        <w:spacing w:after="120" w:line="216" w:lineRule="atLeast"/>
        <w:rPr>
          <w:rFonts w:ascii="Calibri" w:hAnsi="Calibri" w:cs="Times New Roman"/>
          <w:lang w:eastAsia="en-US"/>
        </w:rPr>
      </w:pPr>
      <w:r>
        <w:rPr>
          <w:rFonts w:ascii="Calibri" w:hAnsi="Calibri" w:cs="Times New Roman"/>
          <w:lang w:eastAsia="en-US"/>
        </w:rPr>
        <w:t>VTS is</w:t>
      </w:r>
      <w:r w:rsidR="00725902" w:rsidRPr="00725902">
        <w:rPr>
          <w:rFonts w:ascii="Calibri" w:hAnsi="Calibri" w:cs="Times New Roman"/>
          <w:lang w:eastAsia="en-US"/>
        </w:rPr>
        <w:t xml:space="preserve"> recognised internationally as a navigational safety measure through the International Convention on the Safety of Life at Sea 74/78 (SOLAS).  In particular, the provisions in SOLAS Chapter V (Safety of Navigation) Regulation 12 provides for Vessel Traffic Services and states that:</w:t>
      </w:r>
    </w:p>
    <w:p w:rsidR="00725902" w:rsidRPr="00725902" w:rsidRDefault="00725902" w:rsidP="005E3508">
      <w:pPr>
        <w:numPr>
          <w:ilvl w:val="0"/>
          <w:numId w:val="18"/>
        </w:numPr>
        <w:spacing w:after="120" w:line="216" w:lineRule="atLeast"/>
        <w:rPr>
          <w:rFonts w:ascii="Calibri" w:hAnsi="Calibri" w:cs="Times New Roman"/>
          <w:lang w:eastAsia="en-US"/>
        </w:rPr>
      </w:pPr>
      <w:r w:rsidRPr="00725902">
        <w:rPr>
          <w:rFonts w:ascii="Calibri" w:hAnsi="Calibri" w:cs="Times New Roman"/>
          <w:lang w:eastAsia="en-US"/>
        </w:rPr>
        <w:t>“Vessel Traffic Services (VTS) contribute to safety of life at sea, safety and efficiency of navigation and protection of the marine environment, adjacent shore areas, work sites and offshore installations from possible adverse effects of maritime traffic.”</w:t>
      </w:r>
    </w:p>
    <w:p w:rsidR="00725902" w:rsidRPr="00725902" w:rsidRDefault="00725902" w:rsidP="005E3508">
      <w:pPr>
        <w:numPr>
          <w:ilvl w:val="0"/>
          <w:numId w:val="18"/>
        </w:numPr>
        <w:spacing w:after="120" w:line="216" w:lineRule="atLeast"/>
        <w:rPr>
          <w:rFonts w:ascii="Calibri" w:hAnsi="Calibri" w:cs="Times New Roman"/>
          <w:lang w:eastAsia="en-US"/>
        </w:rPr>
      </w:pPr>
      <w:r w:rsidRPr="00725902">
        <w:rPr>
          <w:rFonts w:ascii="Calibri" w:hAnsi="Calibri" w:cs="Times New Roman"/>
          <w:lang w:eastAsia="en-US"/>
        </w:rPr>
        <w:t>“Governments may establish VTS when, in their opinion, the volume of traffic or the degree of risk justifies such services”.</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IMO Resolution </w:t>
      </w:r>
      <w:proofErr w:type="gramStart"/>
      <w:r w:rsidRPr="00725902">
        <w:rPr>
          <w:rFonts w:ascii="Calibri" w:hAnsi="Calibri" w:cs="Times New Roman"/>
          <w:lang w:eastAsia="en-US"/>
        </w:rPr>
        <w:t>A.857(</w:t>
      </w:r>
      <w:proofErr w:type="gramEnd"/>
      <w:r w:rsidRPr="00725902">
        <w:rPr>
          <w:rFonts w:ascii="Calibri" w:hAnsi="Calibri" w:cs="Times New Roman"/>
          <w:lang w:eastAsia="en-US"/>
        </w:rPr>
        <w:t>20) Guidelines for Vessel Traffic Services describes the principles and general operational provisions for the operation of a VTS and participating ships.  Specifically, it describes the responsibilities of:</w:t>
      </w:r>
    </w:p>
    <w:p w:rsidR="00725902" w:rsidRPr="00725902" w:rsidRDefault="00725902" w:rsidP="005E3508">
      <w:pPr>
        <w:numPr>
          <w:ilvl w:val="0"/>
          <w:numId w:val="19"/>
        </w:numPr>
        <w:spacing w:after="120" w:line="216" w:lineRule="atLeast"/>
        <w:rPr>
          <w:rFonts w:ascii="Calibri" w:hAnsi="Calibri" w:cs="Times New Roman"/>
          <w:lang w:eastAsia="en-US"/>
        </w:rPr>
      </w:pPr>
      <w:r w:rsidRPr="00725902">
        <w:rPr>
          <w:rFonts w:ascii="Calibri" w:hAnsi="Calibri" w:cs="Times New Roman"/>
          <w:lang w:eastAsia="en-US"/>
        </w:rPr>
        <w:t>Contracting governments</w:t>
      </w:r>
      <w:r w:rsidR="003B4C72" w:rsidRPr="003B4C72">
        <w:rPr>
          <w:rFonts w:ascii="Calibri" w:hAnsi="Calibri" w:cs="Times New Roman"/>
          <w:lang w:eastAsia="en-US"/>
        </w:rPr>
        <w:t>/competent authorities</w:t>
      </w:r>
      <w:r w:rsidRPr="00725902">
        <w:rPr>
          <w:rFonts w:ascii="Calibri" w:hAnsi="Calibri" w:cs="Times New Roman"/>
          <w:lang w:eastAsia="en-US"/>
        </w:rPr>
        <w:t xml:space="preserve"> for planning and establishing VTS, including establishing a legal basis for the operation of a VTS to ensure that the VTS is operated in accordance with national and international law and ensuring that a VTS Authority is appointed and legally empowered, and</w:t>
      </w:r>
    </w:p>
    <w:p w:rsidR="00725902" w:rsidRPr="00725902" w:rsidRDefault="00725902" w:rsidP="005E3508">
      <w:pPr>
        <w:numPr>
          <w:ilvl w:val="0"/>
          <w:numId w:val="19"/>
        </w:numPr>
        <w:spacing w:after="120" w:line="216" w:lineRule="atLeast"/>
        <w:rPr>
          <w:rFonts w:ascii="Calibri" w:hAnsi="Calibri" w:cs="Times New Roman"/>
          <w:lang w:eastAsia="en-US"/>
        </w:rPr>
      </w:pPr>
      <w:r w:rsidRPr="00725902">
        <w:rPr>
          <w:rFonts w:ascii="Calibri" w:hAnsi="Calibri" w:cs="Times New Roman"/>
          <w:lang w:eastAsia="en-US"/>
        </w:rPr>
        <w:t>VTS Authorities for the operation and delivery of a VTS.</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establishment and on‐going operation of a VTS is a considerable investment in terms of meeting the international obligations associated with establishing the services under national law and the equipment and associated qualifications and training for staff in both establishment and on-going operations.</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IALA Recommendation V-119 on the </w:t>
      </w:r>
      <w:r w:rsidR="00A17439">
        <w:rPr>
          <w:rFonts w:ascii="Calibri" w:hAnsi="Calibri" w:cs="Times New Roman"/>
          <w:lang w:eastAsia="en-US"/>
        </w:rPr>
        <w:t>I</w:t>
      </w:r>
      <w:r w:rsidRPr="00725902">
        <w:rPr>
          <w:rFonts w:ascii="Calibri" w:hAnsi="Calibri" w:cs="Times New Roman"/>
          <w:lang w:eastAsia="en-US"/>
        </w:rPr>
        <w:t xml:space="preserve">mplementation of Vessel Traffic Services is a normative provision within IALA Standard 1040 – Vessel Traffic Services and provides guidance for the establishment and the ongoing operation of VTS.  </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Further, the Recommendation </w:t>
      </w:r>
      <w:r w:rsidR="009E7722">
        <w:rPr>
          <w:rFonts w:ascii="Calibri" w:hAnsi="Calibri" w:cs="Times New Roman"/>
          <w:lang w:eastAsia="en-US"/>
        </w:rPr>
        <w:t xml:space="preserve">V-119 </w:t>
      </w:r>
      <w:r w:rsidRPr="00725902">
        <w:rPr>
          <w:rFonts w:ascii="Calibri" w:hAnsi="Calibri" w:cs="Times New Roman"/>
          <w:lang w:eastAsia="en-US"/>
        </w:rPr>
        <w:t xml:space="preserve">provides guidance to assist Contracting Governments/Competent Authorities determine when VTS may not be required as other measures may be sufficient to attain the desired level of safety and efficiency of the maritime traffic in the area, noting the associated volume of traffic and degree of risk.  </w:t>
      </w: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6" w:name="_Toc518998572"/>
      <w:r w:rsidRPr="00725902">
        <w:rPr>
          <w:rFonts w:ascii="Calibri" w:eastAsia="Times New Roman" w:hAnsi="Calibri" w:cs="Times New Roman"/>
          <w:b/>
          <w:bCs/>
          <w:caps/>
          <w:color w:val="407EC9"/>
          <w:sz w:val="24"/>
          <w:szCs w:val="24"/>
          <w:lang w:eastAsia="en-US"/>
        </w:rPr>
        <w:t>Local</w:t>
      </w:r>
      <w:r w:rsidR="00A17439">
        <w:rPr>
          <w:rFonts w:ascii="Calibri" w:eastAsia="Times New Roman" w:hAnsi="Calibri" w:cs="Times New Roman"/>
          <w:b/>
          <w:bCs/>
          <w:caps/>
          <w:color w:val="407EC9"/>
          <w:sz w:val="24"/>
          <w:szCs w:val="24"/>
          <w:lang w:eastAsia="en-US"/>
        </w:rPr>
        <w:t xml:space="preserve"> Port</w:t>
      </w:r>
      <w:r w:rsidRPr="00725902">
        <w:rPr>
          <w:rFonts w:ascii="Calibri" w:eastAsia="Times New Roman" w:hAnsi="Calibri" w:cs="Times New Roman"/>
          <w:b/>
          <w:bCs/>
          <w:caps/>
          <w:color w:val="407EC9"/>
          <w:sz w:val="24"/>
          <w:szCs w:val="24"/>
          <w:lang w:eastAsia="en-US"/>
        </w:rPr>
        <w:t xml:space="preserve"> services</w:t>
      </w:r>
      <w:bookmarkEnd w:id="6"/>
    </w:p>
    <w:p w:rsidR="005C5B87" w:rsidRDefault="00DD5CDF" w:rsidP="00725902">
      <w:pPr>
        <w:spacing w:after="120" w:line="216" w:lineRule="atLeast"/>
        <w:rPr>
          <w:rFonts w:ascii="Calibri" w:hAnsi="Calibri" w:cs="Times New Roman"/>
          <w:lang w:eastAsia="en-US"/>
        </w:rPr>
      </w:pPr>
      <w:r>
        <w:rPr>
          <w:rFonts w:ascii="Calibri" w:hAnsi="Calibri" w:cs="Times New Roman"/>
          <w:lang w:eastAsia="en-US"/>
        </w:rPr>
        <w:t>W</w:t>
      </w:r>
      <w:r w:rsidRPr="00DD5CDF">
        <w:rPr>
          <w:rFonts w:ascii="Calibri" w:hAnsi="Calibri" w:cs="Times New Roman"/>
          <w:lang w:eastAsia="en-US"/>
        </w:rPr>
        <w:t xml:space="preserve">here </w:t>
      </w:r>
      <w:r>
        <w:rPr>
          <w:rFonts w:ascii="Calibri" w:hAnsi="Calibri" w:cs="Times New Roman"/>
          <w:lang w:eastAsia="en-US"/>
        </w:rPr>
        <w:t>a</w:t>
      </w:r>
      <w:r w:rsidRPr="00DD5CDF">
        <w:rPr>
          <w:rFonts w:ascii="Calibri" w:hAnsi="Calibri" w:cs="Times New Roman"/>
          <w:lang w:eastAsia="en-US"/>
        </w:rPr>
        <w:t xml:space="preserve"> </w:t>
      </w:r>
      <w:r w:rsidR="00E5084F">
        <w:rPr>
          <w:rFonts w:ascii="Calibri" w:hAnsi="Calibri" w:cs="Times New Roman"/>
          <w:lang w:eastAsia="en-US"/>
        </w:rPr>
        <w:t xml:space="preserve">Contracting </w:t>
      </w:r>
      <w:r w:rsidRPr="00DD5CDF">
        <w:rPr>
          <w:rFonts w:ascii="Calibri" w:hAnsi="Calibri" w:cs="Times New Roman"/>
          <w:lang w:eastAsia="en-US"/>
        </w:rPr>
        <w:t>Government</w:t>
      </w:r>
      <w:r w:rsidR="00E5084F">
        <w:rPr>
          <w:rFonts w:ascii="Calibri" w:hAnsi="Calibri" w:cs="Times New Roman"/>
          <w:lang w:eastAsia="en-US"/>
        </w:rPr>
        <w:t xml:space="preserve"> </w:t>
      </w:r>
      <w:r>
        <w:rPr>
          <w:rFonts w:ascii="Calibri" w:hAnsi="Calibri" w:cs="Times New Roman"/>
          <w:lang w:eastAsia="en-US"/>
        </w:rPr>
        <w:t>is</w:t>
      </w:r>
      <w:r w:rsidRPr="00DD5CDF">
        <w:rPr>
          <w:rFonts w:ascii="Calibri" w:hAnsi="Calibri" w:cs="Times New Roman"/>
          <w:lang w:eastAsia="en-US"/>
        </w:rPr>
        <w:t xml:space="preserve"> of the opinion that the navigational complexity</w:t>
      </w:r>
      <w:r>
        <w:rPr>
          <w:rFonts w:ascii="Calibri" w:hAnsi="Calibri" w:cs="Times New Roman"/>
          <w:lang w:eastAsia="en-US"/>
        </w:rPr>
        <w:t>,</w:t>
      </w:r>
      <w:r w:rsidRPr="00DD5CDF">
        <w:rPr>
          <w:rFonts w:ascii="Calibri" w:hAnsi="Calibri" w:cs="Times New Roman"/>
          <w:lang w:eastAsia="en-US"/>
        </w:rPr>
        <w:t xml:space="preserve"> volume of traffic or the degree of risk does not justify exercising their rights to establish VTS under provisions of SOLAS</w:t>
      </w:r>
      <w:r>
        <w:rPr>
          <w:rFonts w:ascii="Calibri" w:hAnsi="Calibri" w:cs="Times New Roman"/>
          <w:lang w:eastAsia="en-US"/>
        </w:rPr>
        <w:t xml:space="preserve">, there </w:t>
      </w:r>
      <w:r w:rsidR="006919F5">
        <w:rPr>
          <w:rFonts w:ascii="Calibri" w:hAnsi="Calibri" w:cs="Times New Roman"/>
          <w:lang w:eastAsia="en-US"/>
        </w:rPr>
        <w:t xml:space="preserve">may be </w:t>
      </w:r>
      <w:r>
        <w:rPr>
          <w:rFonts w:ascii="Calibri" w:hAnsi="Calibri" w:cs="Times New Roman"/>
          <w:lang w:eastAsia="en-US"/>
        </w:rPr>
        <w:t>a need for information to be exchanged between ship and shore</w:t>
      </w:r>
      <w:r w:rsidR="00292F4A">
        <w:rPr>
          <w:rFonts w:ascii="Calibri" w:hAnsi="Calibri" w:cs="Times New Roman"/>
          <w:lang w:eastAsia="en-US"/>
        </w:rPr>
        <w:t xml:space="preserve"> to ensure efficient handling of shipping and in-port processes</w:t>
      </w:r>
      <w:r w:rsidRPr="00DD5CDF">
        <w:rPr>
          <w:rFonts w:ascii="Calibri" w:hAnsi="Calibri" w:cs="Times New Roman"/>
          <w:lang w:eastAsia="en-US"/>
        </w:rPr>
        <w:t>.</w:t>
      </w:r>
      <w:r>
        <w:rPr>
          <w:rFonts w:ascii="Calibri" w:hAnsi="Calibri" w:cs="Times New Roman"/>
          <w:lang w:eastAsia="en-US"/>
        </w:rPr>
        <w:t xml:space="preserve">  </w:t>
      </w:r>
      <w:r w:rsidR="005C5B87">
        <w:rPr>
          <w:rFonts w:ascii="Calibri" w:hAnsi="Calibri" w:cs="Times New Roman"/>
          <w:lang w:eastAsia="en-US"/>
        </w:rPr>
        <w:t>In such circumstances, i</w:t>
      </w:r>
      <w:r>
        <w:rPr>
          <w:rFonts w:ascii="Calibri" w:hAnsi="Calibri" w:cs="Times New Roman"/>
          <w:lang w:eastAsia="en-US"/>
        </w:rPr>
        <w:t xml:space="preserve">t is </w:t>
      </w:r>
      <w:r w:rsidR="005C5B87">
        <w:rPr>
          <w:rFonts w:ascii="Calibri" w:hAnsi="Calibri" w:cs="Times New Roman"/>
          <w:lang w:eastAsia="en-US"/>
        </w:rPr>
        <w:t xml:space="preserve">particularly </w:t>
      </w:r>
      <w:r>
        <w:rPr>
          <w:rFonts w:ascii="Calibri" w:hAnsi="Calibri" w:cs="Times New Roman"/>
          <w:lang w:eastAsia="en-US"/>
        </w:rPr>
        <w:t>important that mariner</w:t>
      </w:r>
      <w:r w:rsidR="00AD796D">
        <w:rPr>
          <w:rFonts w:ascii="Calibri" w:hAnsi="Calibri" w:cs="Times New Roman"/>
          <w:lang w:eastAsia="en-US"/>
        </w:rPr>
        <w:t>s are</w:t>
      </w:r>
      <w:r>
        <w:rPr>
          <w:rFonts w:ascii="Calibri" w:hAnsi="Calibri" w:cs="Times New Roman"/>
          <w:lang w:eastAsia="en-US"/>
        </w:rPr>
        <w:t xml:space="preserve"> </w:t>
      </w:r>
      <w:r w:rsidR="005C5B87">
        <w:rPr>
          <w:rFonts w:ascii="Calibri" w:hAnsi="Calibri" w:cs="Times New Roman"/>
          <w:lang w:eastAsia="en-US"/>
        </w:rPr>
        <w:t xml:space="preserve">left in no doubt that </w:t>
      </w:r>
      <w:r w:rsidR="00AD796D">
        <w:rPr>
          <w:rFonts w:ascii="Calibri" w:hAnsi="Calibri" w:cs="Times New Roman"/>
          <w:lang w:eastAsia="en-US"/>
        </w:rPr>
        <w:t>t</w:t>
      </w:r>
      <w:r w:rsidR="005C5B87">
        <w:rPr>
          <w:rFonts w:ascii="Calibri" w:hAnsi="Calibri" w:cs="Times New Roman"/>
          <w:lang w:eastAsia="en-US"/>
        </w:rPr>
        <w:t>he</w:t>
      </w:r>
      <w:r w:rsidR="00AD796D">
        <w:rPr>
          <w:rFonts w:ascii="Calibri" w:hAnsi="Calibri" w:cs="Times New Roman"/>
          <w:lang w:eastAsia="en-US"/>
        </w:rPr>
        <w:t>y are</w:t>
      </w:r>
      <w:r w:rsidR="005C5B87">
        <w:rPr>
          <w:rFonts w:ascii="Calibri" w:hAnsi="Calibri" w:cs="Times New Roman"/>
          <w:lang w:eastAsia="en-US"/>
        </w:rPr>
        <w:t xml:space="preserve"> communicating with </w:t>
      </w:r>
      <w:r w:rsidR="00745790">
        <w:rPr>
          <w:rFonts w:ascii="Calibri" w:hAnsi="Calibri" w:cs="Times New Roman"/>
          <w:lang w:eastAsia="en-US"/>
        </w:rPr>
        <w:t>local port services</w:t>
      </w:r>
      <w:r w:rsidR="005C5B87">
        <w:rPr>
          <w:rFonts w:ascii="Calibri" w:hAnsi="Calibri" w:cs="Times New Roman"/>
          <w:lang w:eastAsia="en-US"/>
        </w:rPr>
        <w:t xml:space="preserve"> and not with a VTS.</w:t>
      </w:r>
    </w:p>
    <w:p w:rsidR="004A3BAE" w:rsidRDefault="00145308" w:rsidP="00725902">
      <w:pPr>
        <w:spacing w:after="120" w:line="216" w:lineRule="atLeast"/>
        <w:rPr>
          <w:rFonts w:ascii="Calibri" w:hAnsi="Calibri" w:cs="Times New Roman"/>
          <w:lang w:eastAsia="en-US"/>
        </w:rPr>
      </w:pPr>
      <w:r>
        <w:rPr>
          <w:rFonts w:ascii="Calibri" w:hAnsi="Calibri" w:cs="Times New Roman"/>
          <w:lang w:eastAsia="en-US"/>
        </w:rPr>
        <w:t>Personnel</w:t>
      </w:r>
      <w:r w:rsidR="005C5B87">
        <w:rPr>
          <w:rFonts w:ascii="Calibri" w:hAnsi="Calibri" w:cs="Times New Roman"/>
          <w:lang w:eastAsia="en-US"/>
        </w:rPr>
        <w:t xml:space="preserve"> providing such </w:t>
      </w:r>
      <w:r w:rsidR="00745790">
        <w:rPr>
          <w:rFonts w:ascii="Calibri" w:hAnsi="Calibri" w:cs="Times New Roman"/>
          <w:lang w:eastAsia="en-US"/>
        </w:rPr>
        <w:t>local port services</w:t>
      </w:r>
      <w:r>
        <w:rPr>
          <w:rFonts w:ascii="Calibri" w:hAnsi="Calibri" w:cs="Times New Roman"/>
          <w:lang w:eastAsia="en-US"/>
        </w:rPr>
        <w:t xml:space="preserve"> should restrict communications to the provision of basic factual information and avoid</w:t>
      </w:r>
      <w:r w:rsidR="005C5B87">
        <w:rPr>
          <w:rFonts w:ascii="Calibri" w:hAnsi="Calibri" w:cs="Times New Roman"/>
          <w:lang w:eastAsia="en-US"/>
        </w:rPr>
        <w:t xml:space="preserve"> </w:t>
      </w:r>
      <w:r>
        <w:rPr>
          <w:rFonts w:ascii="Calibri" w:hAnsi="Calibri" w:cs="Times New Roman"/>
          <w:lang w:eastAsia="en-US"/>
        </w:rPr>
        <w:t xml:space="preserve">opinion, advice or instruction that might be provided through a VTS by personnel who have undertaken specialist </w:t>
      </w:r>
      <w:r w:rsidR="004A3BAE">
        <w:rPr>
          <w:rFonts w:ascii="Calibri" w:hAnsi="Calibri" w:cs="Times New Roman"/>
          <w:lang w:eastAsia="en-US"/>
        </w:rPr>
        <w:t xml:space="preserve">VTS </w:t>
      </w:r>
      <w:r>
        <w:rPr>
          <w:rFonts w:ascii="Calibri" w:hAnsi="Calibri" w:cs="Times New Roman"/>
          <w:lang w:eastAsia="en-US"/>
        </w:rPr>
        <w:t>training.</w:t>
      </w:r>
      <w:r w:rsidR="00307EE3">
        <w:rPr>
          <w:rFonts w:ascii="Calibri" w:hAnsi="Calibri" w:cs="Times New Roman"/>
          <w:lang w:eastAsia="en-US"/>
        </w:rPr>
        <w:t xml:space="preserve">  </w:t>
      </w:r>
    </w:p>
    <w:p w:rsidR="00DD5CDF" w:rsidRDefault="00307EE3" w:rsidP="00725902">
      <w:pPr>
        <w:spacing w:after="120" w:line="216" w:lineRule="atLeast"/>
        <w:rPr>
          <w:rFonts w:ascii="Calibri" w:hAnsi="Calibri" w:cs="Times New Roman"/>
          <w:lang w:eastAsia="en-US"/>
        </w:rPr>
      </w:pPr>
      <w:r>
        <w:rPr>
          <w:rFonts w:ascii="Calibri" w:hAnsi="Calibri" w:cs="Times New Roman"/>
          <w:lang w:eastAsia="en-US"/>
        </w:rPr>
        <w:t xml:space="preserve">The functions of </w:t>
      </w:r>
      <w:r w:rsidR="00745790">
        <w:rPr>
          <w:rFonts w:ascii="Calibri" w:hAnsi="Calibri" w:cs="Times New Roman"/>
          <w:lang w:eastAsia="en-US"/>
        </w:rPr>
        <w:t>local port services</w:t>
      </w:r>
      <w:r w:rsidR="004A3BAE">
        <w:rPr>
          <w:rFonts w:ascii="Calibri" w:hAnsi="Calibri" w:cs="Times New Roman"/>
          <w:lang w:eastAsia="en-US"/>
        </w:rPr>
        <w:t xml:space="preserve"> may</w:t>
      </w:r>
      <w:r>
        <w:rPr>
          <w:rFonts w:ascii="Calibri" w:hAnsi="Calibri" w:cs="Times New Roman"/>
          <w:lang w:eastAsia="en-US"/>
        </w:rPr>
        <w:t xml:space="preserve"> include: </w:t>
      </w:r>
      <w:r w:rsidR="00145308">
        <w:rPr>
          <w:rFonts w:ascii="Calibri" w:hAnsi="Calibri" w:cs="Times New Roman"/>
          <w:lang w:eastAsia="en-US"/>
        </w:rPr>
        <w:t xml:space="preserve"> </w:t>
      </w:r>
      <w:r w:rsidR="005C5B87">
        <w:rPr>
          <w:rFonts w:ascii="Calibri" w:hAnsi="Calibri" w:cs="Times New Roman"/>
          <w:lang w:eastAsia="en-US"/>
        </w:rPr>
        <w:t xml:space="preserve"> </w:t>
      </w:r>
      <w:r w:rsidR="00DD5CDF">
        <w:rPr>
          <w:rFonts w:ascii="Calibri" w:hAnsi="Calibri" w:cs="Times New Roman"/>
          <w:lang w:eastAsia="en-US"/>
        </w:rPr>
        <w:t xml:space="preserve"> </w:t>
      </w:r>
    </w:p>
    <w:p w:rsidR="00DD5CDF" w:rsidRDefault="00307EE3" w:rsidP="00307EE3">
      <w:pPr>
        <w:pStyle w:val="ListParagraph"/>
        <w:numPr>
          <w:ilvl w:val="0"/>
          <w:numId w:val="29"/>
        </w:numPr>
        <w:spacing w:after="120" w:line="216" w:lineRule="atLeast"/>
        <w:rPr>
          <w:rFonts w:ascii="Calibri" w:hAnsi="Calibri" w:cs="Times New Roman"/>
          <w:lang w:eastAsia="en-US"/>
        </w:rPr>
      </w:pPr>
      <w:r>
        <w:rPr>
          <w:rFonts w:ascii="Calibri" w:hAnsi="Calibri" w:cs="Times New Roman"/>
          <w:lang w:eastAsia="en-US"/>
        </w:rPr>
        <w:t>Information relating to entry and departure such as:</w:t>
      </w:r>
    </w:p>
    <w:p w:rsidR="00307EE3" w:rsidRDefault="00307EE3"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Berth</w:t>
      </w:r>
      <w:r w:rsidR="006919F5">
        <w:rPr>
          <w:rFonts w:ascii="Calibri" w:hAnsi="Calibri" w:cs="Times New Roman"/>
          <w:lang w:eastAsia="en-US"/>
        </w:rPr>
        <w:t>i</w:t>
      </w:r>
      <w:r>
        <w:rPr>
          <w:rFonts w:ascii="Calibri" w:hAnsi="Calibri" w:cs="Times New Roman"/>
          <w:lang w:eastAsia="en-US"/>
        </w:rPr>
        <w:t>n</w:t>
      </w:r>
      <w:r w:rsidR="006919F5">
        <w:rPr>
          <w:rFonts w:ascii="Calibri" w:hAnsi="Calibri" w:cs="Times New Roman"/>
          <w:lang w:eastAsia="en-US"/>
        </w:rPr>
        <w:t>g</w:t>
      </w:r>
    </w:p>
    <w:p w:rsidR="00292F4A" w:rsidRDefault="00292F4A"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Pilot arrangements</w:t>
      </w:r>
    </w:p>
    <w:p w:rsidR="00292F4A" w:rsidRDefault="00292F4A"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Line handling arrangements</w:t>
      </w:r>
    </w:p>
    <w:p w:rsidR="00307EE3" w:rsidRDefault="00307EE3"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M</w:t>
      </w:r>
      <w:r w:rsidRPr="00307EE3">
        <w:rPr>
          <w:rFonts w:ascii="Calibri" w:hAnsi="Calibri" w:cs="Times New Roman"/>
          <w:lang w:eastAsia="en-US"/>
        </w:rPr>
        <w:t xml:space="preserve">eteorological conditions </w:t>
      </w:r>
    </w:p>
    <w:p w:rsidR="00307EE3" w:rsidRDefault="00307EE3"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H</w:t>
      </w:r>
      <w:r w:rsidRPr="00307EE3">
        <w:rPr>
          <w:rFonts w:ascii="Calibri" w:hAnsi="Calibri" w:cs="Times New Roman"/>
          <w:lang w:eastAsia="en-US"/>
        </w:rPr>
        <w:t>ydrological conditions</w:t>
      </w:r>
    </w:p>
    <w:p w:rsidR="00307EE3" w:rsidRDefault="00307EE3" w:rsidP="00307EE3">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lastRenderedPageBreak/>
        <w:t>S</w:t>
      </w:r>
      <w:r w:rsidRPr="00307EE3">
        <w:rPr>
          <w:rFonts w:ascii="Calibri" w:hAnsi="Calibri" w:cs="Times New Roman"/>
          <w:lang w:eastAsia="en-US"/>
        </w:rPr>
        <w:t>tatus of aids to navigation</w:t>
      </w:r>
    </w:p>
    <w:p w:rsidR="00307EE3" w:rsidRDefault="00307EE3" w:rsidP="002548BB">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L</w:t>
      </w:r>
      <w:r w:rsidRPr="00307EE3">
        <w:rPr>
          <w:rFonts w:ascii="Calibri" w:hAnsi="Calibri" w:cs="Times New Roman"/>
          <w:lang w:eastAsia="en-US"/>
        </w:rPr>
        <w:t>ocal warnings and restrictions</w:t>
      </w:r>
    </w:p>
    <w:p w:rsidR="00307EE3" w:rsidRDefault="00307EE3" w:rsidP="00307EE3">
      <w:pPr>
        <w:pStyle w:val="ListParagraph"/>
        <w:numPr>
          <w:ilvl w:val="0"/>
          <w:numId w:val="29"/>
        </w:numPr>
        <w:spacing w:after="120" w:line="216" w:lineRule="atLeast"/>
        <w:rPr>
          <w:rFonts w:ascii="Calibri" w:hAnsi="Calibri" w:cs="Times New Roman"/>
          <w:lang w:eastAsia="en-US"/>
        </w:rPr>
      </w:pPr>
      <w:r>
        <w:rPr>
          <w:rFonts w:ascii="Calibri" w:hAnsi="Calibri" w:cs="Times New Roman"/>
          <w:lang w:eastAsia="en-US"/>
        </w:rPr>
        <w:t xml:space="preserve">Information relayed from other allied services </w:t>
      </w:r>
      <w:r w:rsidR="00292F4A">
        <w:rPr>
          <w:rFonts w:ascii="Calibri" w:hAnsi="Calibri" w:cs="Times New Roman"/>
          <w:lang w:eastAsia="en-US"/>
        </w:rPr>
        <w:t xml:space="preserve">and in support of in-port operations </w:t>
      </w:r>
      <w:r>
        <w:rPr>
          <w:rFonts w:ascii="Calibri" w:hAnsi="Calibri" w:cs="Times New Roman"/>
          <w:lang w:eastAsia="en-US"/>
        </w:rPr>
        <w:t>such as:</w:t>
      </w:r>
    </w:p>
    <w:p w:rsidR="00292F4A" w:rsidRDefault="00292F4A"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Berth and mooring details</w:t>
      </w:r>
    </w:p>
    <w:p w:rsidR="00292F4A"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Waste handling arrangements</w:t>
      </w:r>
    </w:p>
    <w:p w:rsidR="00065942"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Fuel/bunkers</w:t>
      </w:r>
    </w:p>
    <w:p w:rsidR="00065942"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Crane and other cargo handling arrangements</w:t>
      </w:r>
    </w:p>
    <w:p w:rsidR="00065942"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Provisioning</w:t>
      </w:r>
    </w:p>
    <w:p w:rsidR="00065942" w:rsidRDefault="00065942" w:rsidP="00065942">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Water supply</w:t>
      </w:r>
    </w:p>
    <w:p w:rsidR="00065942"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Customs and Immigration</w:t>
      </w:r>
    </w:p>
    <w:p w:rsidR="00065942" w:rsidRDefault="00065942" w:rsidP="00292F4A">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ISPS information</w:t>
      </w:r>
    </w:p>
    <w:p w:rsidR="00065942" w:rsidRPr="002548BB" w:rsidRDefault="00065942" w:rsidP="002548BB">
      <w:pPr>
        <w:pStyle w:val="ListParagraph"/>
        <w:numPr>
          <w:ilvl w:val="1"/>
          <w:numId w:val="29"/>
        </w:numPr>
        <w:spacing w:after="120" w:line="216" w:lineRule="atLeast"/>
        <w:rPr>
          <w:rFonts w:ascii="Calibri" w:hAnsi="Calibri" w:cs="Times New Roman"/>
          <w:lang w:eastAsia="en-US"/>
        </w:rPr>
      </w:pPr>
      <w:r>
        <w:rPr>
          <w:rFonts w:ascii="Calibri" w:hAnsi="Calibri" w:cs="Times New Roman"/>
          <w:lang w:eastAsia="en-US"/>
        </w:rPr>
        <w:t>Reporting formalities</w:t>
      </w: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7" w:name="_Toc518998573"/>
      <w:r w:rsidRPr="00725902">
        <w:rPr>
          <w:rFonts w:ascii="Calibri" w:eastAsia="Times New Roman" w:hAnsi="Calibri" w:cs="Times New Roman"/>
          <w:b/>
          <w:bCs/>
          <w:caps/>
          <w:color w:val="407EC9"/>
          <w:sz w:val="24"/>
          <w:szCs w:val="24"/>
          <w:lang w:eastAsia="en-US"/>
        </w:rPr>
        <w:t xml:space="preserve">Distinction between VTS and a Local </w:t>
      </w:r>
      <w:r w:rsidR="00A17439">
        <w:rPr>
          <w:rFonts w:ascii="Calibri" w:eastAsia="Times New Roman" w:hAnsi="Calibri" w:cs="Times New Roman"/>
          <w:b/>
          <w:bCs/>
          <w:caps/>
          <w:color w:val="407EC9"/>
          <w:sz w:val="24"/>
          <w:szCs w:val="24"/>
          <w:lang w:eastAsia="en-US"/>
        </w:rPr>
        <w:t xml:space="preserve">Port </w:t>
      </w:r>
      <w:r w:rsidRPr="00725902">
        <w:rPr>
          <w:rFonts w:ascii="Calibri" w:eastAsia="Times New Roman" w:hAnsi="Calibri" w:cs="Times New Roman"/>
          <w:b/>
          <w:bCs/>
          <w:caps/>
          <w:color w:val="407EC9"/>
          <w:sz w:val="24"/>
          <w:szCs w:val="24"/>
          <w:lang w:eastAsia="en-US"/>
        </w:rPr>
        <w:t>Service</w:t>
      </w:r>
      <w:bookmarkEnd w:id="7"/>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There are significant differences between </w:t>
      </w:r>
      <w:r w:rsidR="00745790">
        <w:rPr>
          <w:rFonts w:ascii="Calibri" w:hAnsi="Calibri" w:cs="Times New Roman"/>
          <w:lang w:eastAsia="en-US"/>
        </w:rPr>
        <w:t>local port services</w:t>
      </w:r>
      <w:r w:rsidRPr="00725902">
        <w:rPr>
          <w:rFonts w:ascii="Calibri" w:hAnsi="Calibri" w:cs="Times New Roman"/>
          <w:lang w:eastAsia="en-US"/>
        </w:rPr>
        <w:t xml:space="preserve"> and a VTS.  In particular:</w:t>
      </w:r>
    </w:p>
    <w:p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International Framework</w:t>
      </w:r>
      <w:r w:rsidRPr="00725902">
        <w:rPr>
          <w:rFonts w:ascii="Calibri" w:hAnsi="Calibri" w:cs="Times New Roman"/>
          <w:lang w:eastAsia="en-US"/>
        </w:rPr>
        <w:t xml:space="preserve"> – There is no international convention for the implementation and operation of </w:t>
      </w:r>
      <w:r w:rsidR="00745790">
        <w:rPr>
          <w:rFonts w:ascii="Calibri" w:hAnsi="Calibri" w:cs="Times New Roman"/>
          <w:lang w:eastAsia="en-US"/>
        </w:rPr>
        <w:t>local port services</w:t>
      </w:r>
      <w:r w:rsidRPr="00725902">
        <w:rPr>
          <w:rFonts w:ascii="Calibri" w:hAnsi="Calibri" w:cs="Times New Roman"/>
          <w:lang w:eastAsia="en-US"/>
        </w:rPr>
        <w:t xml:space="preserve"> such as that provided by SOLAS for VTS.</w:t>
      </w:r>
    </w:p>
    <w:p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 xml:space="preserve">Staff Qualifications and Training – </w:t>
      </w:r>
      <w:r w:rsidRPr="00725902">
        <w:rPr>
          <w:rFonts w:ascii="Calibri" w:hAnsi="Calibri" w:cs="Times New Roman"/>
          <w:lang w:eastAsia="en-US"/>
        </w:rPr>
        <w:t xml:space="preserve">There is no requirement for </w:t>
      </w:r>
      <w:r w:rsidR="00745790">
        <w:rPr>
          <w:rFonts w:ascii="Calibri" w:hAnsi="Calibri" w:cs="Times New Roman"/>
          <w:lang w:eastAsia="en-US"/>
        </w:rPr>
        <w:t>local port services</w:t>
      </w:r>
      <w:r w:rsidRPr="00725902">
        <w:rPr>
          <w:rFonts w:ascii="Calibri" w:hAnsi="Calibri" w:cs="Times New Roman"/>
          <w:lang w:eastAsia="en-US"/>
        </w:rPr>
        <w:t xml:space="preserve"> to conform to international standards for qualifications and training such as that provide for VTS by IALA Standards for Training and Certification of VTS Personnel and associated Recommendations.</w:t>
      </w:r>
    </w:p>
    <w:p w:rsidR="00725902" w:rsidRPr="00725902" w:rsidRDefault="00725902" w:rsidP="005E3508">
      <w:pPr>
        <w:numPr>
          <w:ilvl w:val="0"/>
          <w:numId w:val="24"/>
        </w:numPr>
        <w:spacing w:after="120" w:line="216" w:lineRule="atLeast"/>
        <w:rPr>
          <w:rFonts w:ascii="Calibri" w:hAnsi="Calibri" w:cs="Times New Roman"/>
          <w:lang w:eastAsia="en-US"/>
        </w:rPr>
      </w:pPr>
      <w:r w:rsidRPr="00725902">
        <w:rPr>
          <w:rFonts w:ascii="Calibri" w:hAnsi="Calibri" w:cs="Times New Roman"/>
          <w:b/>
          <w:lang w:eastAsia="en-US"/>
        </w:rPr>
        <w:t>Capability</w:t>
      </w:r>
      <w:r w:rsidRPr="00725902">
        <w:rPr>
          <w:rFonts w:ascii="Calibri" w:hAnsi="Calibri" w:cs="Times New Roman"/>
          <w:lang w:eastAsia="en-US"/>
        </w:rPr>
        <w:t xml:space="preserve"> - There is no requirement for </w:t>
      </w:r>
      <w:r w:rsidR="00745790">
        <w:rPr>
          <w:rFonts w:ascii="Calibri" w:hAnsi="Calibri" w:cs="Times New Roman"/>
          <w:lang w:eastAsia="en-US"/>
        </w:rPr>
        <w:t>local port services</w:t>
      </w:r>
      <w:r w:rsidRPr="00725902">
        <w:rPr>
          <w:rFonts w:ascii="Calibri" w:hAnsi="Calibri" w:cs="Times New Roman"/>
          <w:lang w:eastAsia="en-US"/>
        </w:rPr>
        <w:t xml:space="preserve"> to have the capability to:</w:t>
      </w:r>
    </w:p>
    <w:p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 xml:space="preserve">Generate a comprehensive overview of traffic in its service area combined with all traffic influencing factors. </w:t>
      </w:r>
    </w:p>
    <w:p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Compile a traffic image to enable staff to evaluate situations and make decisions accordingly</w:t>
      </w:r>
    </w:p>
    <w:p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 xml:space="preserve">Respond to traffic situations developing in the area and to decide upon appropriate actions </w:t>
      </w:r>
    </w:p>
    <w:p w:rsidR="00725902" w:rsidRPr="00725902" w:rsidRDefault="00725902" w:rsidP="005E3508">
      <w:pPr>
        <w:numPr>
          <w:ilvl w:val="1"/>
          <w:numId w:val="24"/>
        </w:numPr>
        <w:spacing w:before="60" w:after="60" w:line="216" w:lineRule="atLeast"/>
        <w:ind w:left="1434" w:hanging="357"/>
        <w:rPr>
          <w:rFonts w:ascii="Calibri" w:hAnsi="Calibri" w:cs="Times New Roman"/>
          <w:lang w:eastAsia="en-US"/>
        </w:rPr>
      </w:pPr>
      <w:r w:rsidRPr="00725902">
        <w:rPr>
          <w:rFonts w:ascii="Calibri" w:hAnsi="Calibri" w:cs="Times New Roman"/>
          <w:lang w:eastAsia="en-US"/>
        </w:rPr>
        <w:t>Employ suitably qualified and trained staff to international standards</w:t>
      </w:r>
    </w:p>
    <w:p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8" w:name="_Toc518998574"/>
      <w:r w:rsidRPr="00725902">
        <w:rPr>
          <w:rFonts w:ascii="Calibri" w:eastAsia="Times New Roman" w:hAnsi="Calibri" w:cs="Times New Roman"/>
          <w:b/>
          <w:bCs/>
          <w:color w:val="407EC9"/>
          <w:sz w:val="28"/>
          <w:szCs w:val="24"/>
          <w:lang w:eastAsia="en-US"/>
        </w:rPr>
        <w:t xml:space="preserve">PRINCIPLES FOR OPERATING LOCAL </w:t>
      </w:r>
      <w:r w:rsidR="00A17439">
        <w:rPr>
          <w:rFonts w:ascii="Calibri" w:eastAsia="Times New Roman" w:hAnsi="Calibri" w:cs="Times New Roman"/>
          <w:b/>
          <w:bCs/>
          <w:color w:val="407EC9"/>
          <w:sz w:val="28"/>
          <w:szCs w:val="24"/>
          <w:lang w:eastAsia="en-US"/>
        </w:rPr>
        <w:t xml:space="preserve">PORT </w:t>
      </w:r>
      <w:r w:rsidRPr="00725902">
        <w:rPr>
          <w:rFonts w:ascii="Calibri" w:eastAsia="Times New Roman" w:hAnsi="Calibri" w:cs="Times New Roman"/>
          <w:b/>
          <w:bCs/>
          <w:color w:val="407EC9"/>
          <w:sz w:val="28"/>
          <w:szCs w:val="24"/>
          <w:lang w:eastAsia="en-US"/>
        </w:rPr>
        <w:t>SERVICES</w:t>
      </w:r>
      <w:bookmarkEnd w:id="8"/>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To assist entities operate </w:t>
      </w:r>
      <w:r w:rsidR="00745790">
        <w:rPr>
          <w:rFonts w:ascii="Calibri" w:hAnsi="Calibri" w:cs="Times New Roman"/>
          <w:lang w:eastAsia="en-US"/>
        </w:rPr>
        <w:t>local port services</w:t>
      </w:r>
      <w:r w:rsidRPr="00725902">
        <w:rPr>
          <w:rFonts w:ascii="Calibri" w:hAnsi="Calibri" w:cs="Times New Roman"/>
          <w:lang w:eastAsia="en-US"/>
        </w:rPr>
        <w:t xml:space="preserve"> in a globally harmonised manner, the following principles are recommended as international best practice:</w:t>
      </w:r>
    </w:p>
    <w:p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Identifier</w:t>
      </w:r>
    </w:p>
    <w:p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Voice Communications</w:t>
      </w:r>
    </w:p>
    <w:p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Promulgation</w:t>
      </w:r>
    </w:p>
    <w:p w:rsidR="00725902" w:rsidRPr="00725902" w:rsidRDefault="00725902" w:rsidP="005E3508">
      <w:pPr>
        <w:numPr>
          <w:ilvl w:val="0"/>
          <w:numId w:val="21"/>
        </w:numPr>
        <w:spacing w:after="120" w:line="216" w:lineRule="atLeast"/>
        <w:rPr>
          <w:rFonts w:ascii="Calibri" w:hAnsi="Calibri" w:cs="Times New Roman"/>
          <w:lang w:eastAsia="en-US"/>
        </w:rPr>
      </w:pPr>
      <w:r w:rsidRPr="00725902">
        <w:rPr>
          <w:rFonts w:ascii="Calibri" w:hAnsi="Calibri" w:cs="Times New Roman"/>
          <w:lang w:eastAsia="en-US"/>
        </w:rPr>
        <w:t>Qualifications and Training</w:t>
      </w: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9" w:name="_Toc518998575"/>
      <w:r w:rsidRPr="00725902">
        <w:rPr>
          <w:rFonts w:ascii="Calibri" w:eastAsia="Times New Roman" w:hAnsi="Calibri" w:cs="Times New Roman"/>
          <w:b/>
          <w:bCs/>
          <w:caps/>
          <w:color w:val="407EC9"/>
          <w:sz w:val="24"/>
          <w:szCs w:val="24"/>
          <w:lang w:eastAsia="en-US"/>
        </w:rPr>
        <w:t>Identifier</w:t>
      </w:r>
      <w:bookmarkEnd w:id="9"/>
    </w:p>
    <w:p w:rsid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To avoid confusion to the mariner the IALA Guideline 1083 on “Standard Nomenclature to identify and refer to VTS centres” states that any service that is not authorised as a VTS should not use the term ‘VTS’ in its name identifier.</w:t>
      </w:r>
    </w:p>
    <w:p w:rsidR="00040C57" w:rsidRPr="00725902" w:rsidRDefault="00040C57" w:rsidP="00040C57">
      <w:pPr>
        <w:spacing w:after="120" w:line="216" w:lineRule="atLeast"/>
        <w:rPr>
          <w:rFonts w:ascii="Calibri" w:hAnsi="Calibri" w:cs="Times New Roman"/>
          <w:lang w:eastAsia="en-US"/>
        </w:rPr>
      </w:pPr>
      <w:r>
        <w:rPr>
          <w:rFonts w:ascii="Calibri" w:hAnsi="Calibri" w:cs="Times New Roman"/>
          <w:lang w:eastAsia="en-US"/>
        </w:rPr>
        <w:t>For global harmonisation, the title Local Port Services is strongly recommended, although it is recognised that alternative titles may be more appropriate under certain circumstances.</w:t>
      </w:r>
    </w:p>
    <w:p w:rsidR="00725902" w:rsidRPr="00725902" w:rsidRDefault="00725902" w:rsidP="00605FE9">
      <w:pPr>
        <w:spacing w:after="120" w:line="216" w:lineRule="atLeast"/>
        <w:rPr>
          <w:rFonts w:ascii="Calibri" w:hAnsi="Calibri" w:cs="Times New Roman"/>
          <w:lang w:eastAsia="en-US"/>
        </w:rPr>
      </w:pPr>
      <w:r w:rsidRPr="00725902">
        <w:rPr>
          <w:rFonts w:ascii="Calibri" w:hAnsi="Calibri" w:cs="Times New Roman"/>
          <w:lang w:eastAsia="en-US"/>
        </w:rPr>
        <w:t xml:space="preserve">It is therefore recommended that </w:t>
      </w:r>
      <w:r w:rsidR="00745790">
        <w:rPr>
          <w:rFonts w:ascii="Calibri" w:hAnsi="Calibri" w:cs="Times New Roman"/>
          <w:lang w:eastAsia="en-US"/>
        </w:rPr>
        <w:t>local port services</w:t>
      </w:r>
      <w:r w:rsidRPr="00725902">
        <w:rPr>
          <w:rFonts w:ascii="Calibri" w:hAnsi="Calibri" w:cs="Times New Roman"/>
          <w:lang w:eastAsia="en-US"/>
        </w:rPr>
        <w:t xml:space="preserve"> clearly distinguish that they are not a VTS in communications with masters and stakeholders through adoption of a similar format using a “name identifier” and an associated “location” suffix or prefix to identify </w:t>
      </w:r>
      <w:r w:rsidR="00745790">
        <w:rPr>
          <w:rFonts w:ascii="Calibri" w:hAnsi="Calibri" w:cs="Times New Roman"/>
          <w:lang w:eastAsia="en-US"/>
        </w:rPr>
        <w:t>local port services</w:t>
      </w:r>
      <w:r w:rsidR="00605FE9">
        <w:rPr>
          <w:rFonts w:ascii="Calibri" w:hAnsi="Calibri" w:cs="Times New Roman"/>
          <w:lang w:eastAsia="en-US"/>
        </w:rPr>
        <w:t>, f</w:t>
      </w:r>
      <w:r w:rsidRPr="00725902">
        <w:rPr>
          <w:rFonts w:ascii="Calibri" w:hAnsi="Calibri" w:cs="Times New Roman"/>
          <w:lang w:eastAsia="en-US"/>
        </w:rPr>
        <w:t>or example</w:t>
      </w:r>
      <w:r w:rsidR="00605FE9">
        <w:rPr>
          <w:rFonts w:ascii="Calibri" w:hAnsi="Calibri" w:cs="Times New Roman"/>
          <w:lang w:eastAsia="en-US"/>
        </w:rPr>
        <w:t xml:space="preserve"> </w:t>
      </w:r>
      <w:r w:rsidRPr="00725902">
        <w:rPr>
          <w:rFonts w:ascii="Calibri" w:hAnsi="Calibri" w:cs="Times New Roman"/>
          <w:lang w:eastAsia="en-US"/>
        </w:rPr>
        <w:t>‘</w:t>
      </w:r>
      <w:r w:rsidRPr="00725902">
        <w:rPr>
          <w:rFonts w:ascii="Calibri" w:hAnsi="Calibri" w:cs="Times New Roman"/>
          <w:i/>
          <w:lang w:eastAsia="en-US"/>
        </w:rPr>
        <w:t>Port Z</w:t>
      </w:r>
      <w:r w:rsidRPr="00725902">
        <w:rPr>
          <w:rFonts w:ascii="Calibri" w:hAnsi="Calibri" w:cs="Times New Roman"/>
          <w:lang w:eastAsia="en-US"/>
        </w:rPr>
        <w:t xml:space="preserve"> LPS’</w:t>
      </w:r>
      <w:r w:rsidR="00605FE9">
        <w:rPr>
          <w:rFonts w:ascii="Calibri" w:hAnsi="Calibri" w:cs="Times New Roman"/>
          <w:lang w:eastAsia="en-US"/>
        </w:rPr>
        <w:t>.</w:t>
      </w:r>
    </w:p>
    <w:p w:rsidR="00BE51E0" w:rsidRDefault="00BE51E0" w:rsidP="00BD48B3">
      <w:pPr>
        <w:ind w:left="771"/>
        <w:rPr>
          <w:rFonts w:ascii="Calibri" w:hAnsi="Calibri" w:cs="Times New Roman"/>
          <w:lang w:eastAsia="en-US"/>
        </w:rPr>
      </w:pP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0" w:name="_Toc518998576"/>
      <w:r w:rsidRPr="00725902">
        <w:rPr>
          <w:rFonts w:ascii="Calibri" w:eastAsia="Times New Roman" w:hAnsi="Calibri" w:cs="Times New Roman"/>
          <w:b/>
          <w:bCs/>
          <w:caps/>
          <w:color w:val="407EC9"/>
          <w:sz w:val="24"/>
          <w:szCs w:val="24"/>
          <w:lang w:eastAsia="en-US"/>
        </w:rPr>
        <w:lastRenderedPageBreak/>
        <w:t>Voice Communications</w:t>
      </w:r>
      <w:bookmarkEnd w:id="10"/>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The following principles for voice communications are recommended</w:t>
      </w:r>
      <w:r w:rsidR="003B4C72" w:rsidRPr="003B4C72">
        <w:t xml:space="preserve"> </w:t>
      </w:r>
      <w:r w:rsidR="003B4C72" w:rsidRPr="003B4C72">
        <w:rPr>
          <w:rFonts w:ascii="Calibri" w:hAnsi="Calibri" w:cs="Times New Roman"/>
          <w:lang w:eastAsia="en-US"/>
        </w:rPr>
        <w:t xml:space="preserve">when operating </w:t>
      </w:r>
      <w:r w:rsidR="00745790">
        <w:rPr>
          <w:rFonts w:ascii="Calibri" w:hAnsi="Calibri" w:cs="Times New Roman"/>
          <w:lang w:eastAsia="en-US"/>
        </w:rPr>
        <w:t>local port services</w:t>
      </w:r>
      <w:r w:rsidRPr="00725902">
        <w:rPr>
          <w:rFonts w:ascii="Calibri" w:hAnsi="Calibri" w:cs="Times New Roman"/>
          <w:lang w:eastAsia="en-US"/>
        </w:rPr>
        <w:t>:</w:t>
      </w:r>
    </w:p>
    <w:p w:rsidR="00725902" w:rsidRPr="00725902" w:rsidRDefault="00725902" w:rsidP="005E3508">
      <w:pPr>
        <w:numPr>
          <w:ilvl w:val="0"/>
          <w:numId w:val="25"/>
        </w:numPr>
        <w:spacing w:after="120" w:line="216" w:lineRule="atLeast"/>
        <w:rPr>
          <w:rFonts w:ascii="Calibri" w:hAnsi="Calibri" w:cs="Times New Roman"/>
          <w:lang w:eastAsia="en-US"/>
        </w:rPr>
      </w:pPr>
      <w:r w:rsidRPr="00725902">
        <w:rPr>
          <w:rFonts w:ascii="Calibri" w:hAnsi="Calibri" w:cs="Times New Roman"/>
          <w:lang w:eastAsia="en-US"/>
        </w:rPr>
        <w:t>Staff using radio communications equipment should be licenced and trained appropriately</w:t>
      </w:r>
      <w:r w:rsidR="003B4C72">
        <w:rPr>
          <w:rFonts w:ascii="Calibri" w:hAnsi="Calibri" w:cs="Times New Roman"/>
          <w:lang w:eastAsia="en-US"/>
        </w:rPr>
        <w:t>,</w:t>
      </w:r>
      <w:r w:rsidRPr="00725902">
        <w:rPr>
          <w:rFonts w:ascii="Calibri" w:hAnsi="Calibri" w:cs="Times New Roman"/>
          <w:lang w:eastAsia="en-US"/>
        </w:rPr>
        <w:t xml:space="preserve"> </w:t>
      </w:r>
      <w:r w:rsidR="003B4C72">
        <w:rPr>
          <w:rFonts w:ascii="Calibri" w:hAnsi="Calibri" w:cs="Times New Roman"/>
          <w:lang w:eastAsia="en-US"/>
        </w:rPr>
        <w:t>f</w:t>
      </w:r>
      <w:r w:rsidRPr="00725902">
        <w:rPr>
          <w:rFonts w:ascii="Calibri" w:hAnsi="Calibri" w:cs="Times New Roman"/>
          <w:lang w:eastAsia="en-US"/>
        </w:rPr>
        <w:t xml:space="preserve">or example, </w:t>
      </w:r>
      <w:r w:rsidR="003B4C72">
        <w:rPr>
          <w:rFonts w:ascii="Calibri" w:hAnsi="Calibri" w:cs="Times New Roman"/>
          <w:lang w:eastAsia="en-US"/>
        </w:rPr>
        <w:t xml:space="preserve">with </w:t>
      </w:r>
      <w:r w:rsidRPr="00725902">
        <w:rPr>
          <w:rFonts w:ascii="Calibri" w:hAnsi="Calibri" w:cs="Times New Roman"/>
          <w:lang w:eastAsia="en-US"/>
        </w:rPr>
        <w:t xml:space="preserve">a national radio operator’s certificate.  </w:t>
      </w:r>
    </w:p>
    <w:p w:rsidR="00725902" w:rsidRPr="00725902" w:rsidRDefault="00725902" w:rsidP="005E3508">
      <w:pPr>
        <w:numPr>
          <w:ilvl w:val="0"/>
          <w:numId w:val="25"/>
        </w:numPr>
        <w:spacing w:after="120" w:line="216" w:lineRule="atLeast"/>
        <w:rPr>
          <w:rFonts w:ascii="Calibri" w:hAnsi="Calibri" w:cs="Times New Roman"/>
          <w:lang w:eastAsia="en-US"/>
        </w:rPr>
      </w:pPr>
      <w:r w:rsidRPr="00725902">
        <w:rPr>
          <w:rFonts w:ascii="Calibri" w:hAnsi="Calibri" w:cs="Times New Roman"/>
          <w:lang w:eastAsia="en-US"/>
        </w:rPr>
        <w:t xml:space="preserve">Communications should be in the form of concise factual information and staff should be aware of their authorisation powers.  </w:t>
      </w: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1" w:name="_Toc518998577"/>
      <w:r w:rsidRPr="00725902">
        <w:rPr>
          <w:rFonts w:ascii="Calibri" w:eastAsia="Times New Roman" w:hAnsi="Calibri" w:cs="Times New Roman"/>
          <w:b/>
          <w:bCs/>
          <w:caps/>
          <w:color w:val="407EC9"/>
          <w:sz w:val="24"/>
          <w:szCs w:val="24"/>
          <w:lang w:eastAsia="en-US"/>
        </w:rPr>
        <w:t>Promulgation</w:t>
      </w:r>
      <w:bookmarkEnd w:id="11"/>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The details of any local service provided by an entity should be clearly described and promulgated in the appropriate navigational publications. </w:t>
      </w:r>
    </w:p>
    <w:p w:rsidR="00725902" w:rsidRPr="00725902" w:rsidRDefault="00725902" w:rsidP="005E3508">
      <w:pPr>
        <w:keepNext/>
        <w:keepLines/>
        <w:numPr>
          <w:ilvl w:val="1"/>
          <w:numId w:val="15"/>
        </w:numPr>
        <w:tabs>
          <w:tab w:val="num" w:pos="360"/>
        </w:tabs>
        <w:spacing w:before="120" w:after="120" w:line="216" w:lineRule="atLeast"/>
        <w:ind w:left="576" w:right="709" w:hanging="576"/>
        <w:outlineLvl w:val="1"/>
        <w:rPr>
          <w:rFonts w:ascii="Calibri" w:eastAsia="Times New Roman" w:hAnsi="Calibri" w:cs="Times New Roman"/>
          <w:b/>
          <w:bCs/>
          <w:caps/>
          <w:color w:val="407EC9"/>
          <w:sz w:val="24"/>
          <w:szCs w:val="24"/>
          <w:lang w:eastAsia="en-US"/>
        </w:rPr>
      </w:pPr>
      <w:bookmarkStart w:id="12" w:name="_Toc518998578"/>
      <w:r w:rsidRPr="00725902">
        <w:rPr>
          <w:rFonts w:ascii="Calibri" w:eastAsia="Times New Roman" w:hAnsi="Calibri" w:cs="Times New Roman"/>
          <w:b/>
          <w:bCs/>
          <w:caps/>
          <w:color w:val="407EC9"/>
          <w:sz w:val="24"/>
          <w:szCs w:val="24"/>
          <w:lang w:eastAsia="en-US"/>
        </w:rPr>
        <w:t>Qualifications and Training</w:t>
      </w:r>
      <w:bookmarkEnd w:id="12"/>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While there are no international standards relating to the qualifications and training for the provision of </w:t>
      </w:r>
      <w:r w:rsidR="00745790">
        <w:rPr>
          <w:rFonts w:ascii="Calibri" w:hAnsi="Calibri" w:cs="Times New Roman"/>
          <w:lang w:eastAsia="en-US"/>
        </w:rPr>
        <w:t>local port services</w:t>
      </w:r>
      <w:r w:rsidRPr="00725902">
        <w:rPr>
          <w:rFonts w:ascii="Calibri" w:hAnsi="Calibri" w:cs="Times New Roman"/>
          <w:lang w:eastAsia="en-US"/>
        </w:rPr>
        <w:t xml:space="preserve"> it is recommended that training should give due consideration to:</w:t>
      </w:r>
    </w:p>
    <w:p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The equipment in use</w:t>
      </w:r>
    </w:p>
    <w:p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Operational procedures</w:t>
      </w:r>
    </w:p>
    <w:p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The level of operator competence required</w:t>
      </w:r>
    </w:p>
    <w:p w:rsidR="00725902" w:rsidRPr="00725902" w:rsidRDefault="00725902" w:rsidP="005E3508">
      <w:pPr>
        <w:numPr>
          <w:ilvl w:val="0"/>
          <w:numId w:val="27"/>
        </w:numPr>
        <w:spacing w:after="120" w:line="216" w:lineRule="atLeast"/>
        <w:rPr>
          <w:rFonts w:ascii="Calibri" w:hAnsi="Calibri" w:cs="Times New Roman"/>
          <w:lang w:eastAsia="en-US"/>
        </w:rPr>
      </w:pPr>
      <w:r w:rsidRPr="00725902">
        <w:rPr>
          <w:rFonts w:ascii="Calibri" w:hAnsi="Calibri" w:cs="Times New Roman"/>
          <w:lang w:eastAsia="en-US"/>
        </w:rPr>
        <w:t>The complexity of the information required to be exchanged</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For global consistency it is suggested that training be based on the selection of appropriate and relevant modules (or elements within modules) from the V-103 syllabus. </w:t>
      </w:r>
    </w:p>
    <w:p w:rsidR="00725902" w:rsidRPr="00725902" w:rsidRDefault="00725902" w:rsidP="00725902">
      <w:pPr>
        <w:spacing w:after="120" w:line="216" w:lineRule="atLeast"/>
        <w:rPr>
          <w:rFonts w:ascii="Calibri" w:hAnsi="Calibri" w:cs="Times New Roman"/>
          <w:lang w:eastAsia="en-US"/>
        </w:rPr>
      </w:pPr>
      <w:r w:rsidRPr="00725902">
        <w:rPr>
          <w:rFonts w:ascii="Calibri" w:hAnsi="Calibri" w:cs="Times New Roman"/>
          <w:lang w:eastAsia="en-US"/>
        </w:rPr>
        <w:t xml:space="preserve">Particular emphasis should be given to ensuring staff clearly understand the limitations of the local service being provided to ensure that the service delivered will not be mistaken for that of an authorised VTS. </w:t>
      </w:r>
    </w:p>
    <w:p w:rsidR="00725902" w:rsidRPr="00725902" w:rsidRDefault="00725902" w:rsidP="005E3508">
      <w:pPr>
        <w:keepNext/>
        <w:keepLines/>
        <w:numPr>
          <w:ilvl w:val="0"/>
          <w:numId w:val="15"/>
        </w:numPr>
        <w:tabs>
          <w:tab w:val="num" w:pos="360"/>
        </w:tabs>
        <w:spacing w:before="240" w:line="240" w:lineRule="atLeast"/>
        <w:ind w:left="432" w:hanging="432"/>
        <w:outlineLvl w:val="0"/>
        <w:rPr>
          <w:rFonts w:ascii="Calibri" w:eastAsia="Times New Roman" w:hAnsi="Calibri" w:cs="Times New Roman"/>
          <w:b/>
          <w:bCs/>
          <w:caps/>
          <w:color w:val="407EC9"/>
          <w:sz w:val="28"/>
          <w:szCs w:val="24"/>
          <w:lang w:eastAsia="en-US"/>
        </w:rPr>
      </w:pPr>
      <w:bookmarkStart w:id="13" w:name="_Toc518998579"/>
      <w:r w:rsidRPr="00725902">
        <w:rPr>
          <w:rFonts w:ascii="Calibri" w:eastAsia="Times New Roman" w:hAnsi="Calibri" w:cs="Times New Roman"/>
          <w:b/>
          <w:bCs/>
          <w:color w:val="407EC9"/>
          <w:sz w:val="28"/>
          <w:szCs w:val="24"/>
          <w:lang w:eastAsia="en-US"/>
        </w:rPr>
        <w:t>OTHER CONSIDERATIONS</w:t>
      </w:r>
      <w:bookmarkEnd w:id="13"/>
    </w:p>
    <w:p w:rsidR="00725902" w:rsidRPr="00725902" w:rsidRDefault="00725902" w:rsidP="00725902">
      <w:pPr>
        <w:spacing w:after="120" w:line="216" w:lineRule="atLeast"/>
        <w:rPr>
          <w:rFonts w:ascii="Calibri" w:hAnsi="Calibri"/>
          <w:lang w:val="en-AU" w:eastAsia="en-US"/>
        </w:rPr>
      </w:pPr>
      <w:r w:rsidRPr="00725902">
        <w:rPr>
          <w:rFonts w:ascii="Calibri" w:hAnsi="Calibri"/>
          <w:lang w:eastAsia="en-US"/>
        </w:rPr>
        <w:t xml:space="preserve">An entity operating </w:t>
      </w:r>
      <w:r w:rsidR="00745790">
        <w:rPr>
          <w:rFonts w:ascii="Calibri" w:hAnsi="Calibri"/>
          <w:lang w:eastAsia="en-US"/>
        </w:rPr>
        <w:t>local port services</w:t>
      </w:r>
      <w:r w:rsidRPr="00725902">
        <w:rPr>
          <w:rFonts w:ascii="Calibri" w:hAnsi="Calibri"/>
          <w:lang w:eastAsia="en-US"/>
        </w:rPr>
        <w:t xml:space="preserve"> should give due consideration to the legal framework they operate under and possible implications that may arise as a result of the provision of information to individual vessels in the event of a shipping incident where staff may have failed to carry out their duty competently.</w:t>
      </w:r>
    </w:p>
    <w:p w:rsidR="00725902" w:rsidRPr="00725902" w:rsidRDefault="00725902" w:rsidP="00725902">
      <w:pPr>
        <w:spacing w:after="120" w:line="216" w:lineRule="atLeast"/>
        <w:rPr>
          <w:rFonts w:ascii="Calibri" w:hAnsi="Calibri" w:cs="Times New Roman"/>
          <w:lang w:eastAsia="en-US"/>
        </w:rPr>
      </w:pPr>
    </w:p>
    <w:p w:rsidR="00725902" w:rsidRPr="00725902" w:rsidRDefault="00725902" w:rsidP="00725902">
      <w:pPr>
        <w:spacing w:after="120" w:line="216" w:lineRule="atLeast"/>
        <w:rPr>
          <w:rFonts w:ascii="Calibri" w:hAnsi="Calibri" w:cs="Times New Roman"/>
          <w:lang w:eastAsia="en-US"/>
        </w:rPr>
      </w:pPr>
    </w:p>
    <w:p w:rsidR="00725902" w:rsidRPr="00725902" w:rsidRDefault="00725902" w:rsidP="00725902">
      <w:pPr>
        <w:spacing w:after="120" w:line="216" w:lineRule="atLeast"/>
        <w:rPr>
          <w:rFonts w:ascii="Calibri" w:hAnsi="Calibri" w:cs="Times New Roman"/>
          <w:lang w:eastAsia="en-US"/>
        </w:rPr>
      </w:pPr>
    </w:p>
    <w:p w:rsidR="00725902" w:rsidRPr="00725902" w:rsidRDefault="00725902" w:rsidP="00725902">
      <w:pPr>
        <w:spacing w:after="120" w:line="216" w:lineRule="atLeast"/>
        <w:rPr>
          <w:rFonts w:ascii="Calibri" w:hAnsi="Calibri" w:cs="Times New Roman"/>
          <w:lang w:eastAsia="en-US"/>
        </w:rPr>
      </w:pPr>
    </w:p>
    <w:p w:rsidR="00725902" w:rsidRPr="00725902" w:rsidRDefault="00725902" w:rsidP="00725902">
      <w:pPr>
        <w:spacing w:after="120" w:line="216" w:lineRule="atLeast"/>
        <w:rPr>
          <w:rFonts w:ascii="Calibri" w:hAnsi="Calibri" w:cs="Times New Roman"/>
          <w:lang w:eastAsia="en-US"/>
        </w:rPr>
      </w:pPr>
    </w:p>
    <w:p w:rsidR="00725902" w:rsidRPr="00725902" w:rsidRDefault="00725902" w:rsidP="00725902">
      <w:pPr>
        <w:tabs>
          <w:tab w:val="left" w:pos="2379"/>
        </w:tabs>
        <w:spacing w:before="120" w:after="120"/>
        <w:rPr>
          <w:rFonts w:ascii="Calibri" w:hAnsi="Calibri" w:cs="Times New Roman"/>
          <w:lang w:eastAsia="en-US"/>
        </w:rPr>
      </w:pPr>
    </w:p>
    <w:p w:rsidR="005E355F" w:rsidRPr="005E355F" w:rsidRDefault="005E355F" w:rsidP="005E355F">
      <w:pPr>
        <w:rPr>
          <w:lang w:eastAsia="en-US"/>
        </w:rPr>
      </w:pPr>
    </w:p>
    <w:sectPr w:rsidR="005E355F" w:rsidRPr="005E355F" w:rsidSect="00065942">
      <w:headerReference w:type="even" r:id="rId23"/>
      <w:headerReference w:type="default" r:id="rId24"/>
      <w:footerReference w:type="default" r:id="rId25"/>
      <w:headerReference w:type="first" r:id="rId26"/>
      <w:footnotePr>
        <w:numRestart w:val="eachSect"/>
      </w:footnotePr>
      <w:pgSz w:w="11906" w:h="16838" w:code="9"/>
      <w:pgMar w:top="567" w:right="794" w:bottom="567" w:left="907" w:header="850" w:footer="85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B60F8" w16cid:durableId="1F5F27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3CB" w:rsidRDefault="005A43CB" w:rsidP="00362CD9">
      <w:r>
        <w:separator/>
      </w:r>
    </w:p>
    <w:p w:rsidR="005A43CB" w:rsidRDefault="005A43CB"/>
    <w:p w:rsidR="005A43CB" w:rsidRDefault="005A43CB"/>
  </w:endnote>
  <w:endnote w:type="continuationSeparator" w:id="0">
    <w:p w:rsidR="005A43CB" w:rsidRDefault="005A43CB" w:rsidP="00362CD9">
      <w:r>
        <w:continuationSeparator/>
      </w:r>
    </w:p>
    <w:p w:rsidR="005A43CB" w:rsidRDefault="005A43CB"/>
    <w:p w:rsidR="005A43CB" w:rsidRDefault="005A4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065942" w:rsidP="0006594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5942" w:rsidRDefault="00065942" w:rsidP="00065942">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065942" w:rsidRDefault="00065942" w:rsidP="00065942">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065942" w:rsidRDefault="00065942" w:rsidP="00065942">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065942" w:rsidRDefault="00065942" w:rsidP="000659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810CBA" w:rsidRDefault="00065942" w:rsidP="00065942">
    <w:pPr>
      <w:rPr>
        <w:rFonts w:ascii="Avenir Book" w:hAnsi="Avenir Book"/>
        <w:color w:val="808080"/>
        <w:sz w:val="13"/>
        <w:szCs w:val="13"/>
        <w:lang w:val="fr-FR"/>
      </w:rPr>
    </w:pPr>
    <w:r w:rsidRPr="00810CBA">
      <w:rPr>
        <w:rFonts w:ascii="Avenir Book" w:hAnsi="Avenir Book"/>
        <w:color w:val="808080"/>
        <w:sz w:val="13"/>
        <w:szCs w:val="13"/>
        <w:lang w:val="fr-FR"/>
      </w:rPr>
      <w:t xml:space="preserve">10, rue des </w:t>
    </w:r>
    <w:proofErr w:type="spellStart"/>
    <w:r w:rsidRPr="00810CBA">
      <w:rPr>
        <w:rFonts w:ascii="Avenir Book" w:hAnsi="Avenir Book"/>
        <w:color w:val="808080"/>
        <w:sz w:val="13"/>
        <w:szCs w:val="13"/>
        <w:lang w:val="fr-FR"/>
      </w:rPr>
      <w:t>Gaudines</w:t>
    </w:r>
    <w:proofErr w:type="spellEnd"/>
    <w:r w:rsidRPr="00810CBA">
      <w:rPr>
        <w:rFonts w:ascii="Avenir Book" w:hAnsi="Avenir Book"/>
        <w:color w:val="808080"/>
        <w:sz w:val="13"/>
        <w:szCs w:val="13"/>
        <w:lang w:val="fr-FR"/>
      </w:rPr>
      <w:t xml:space="preserve"> – 78100 Saint Germaine en Laye, France</w:t>
    </w:r>
  </w:p>
  <w:p w:rsidR="00065942" w:rsidRPr="00810CBA" w:rsidRDefault="00065942" w:rsidP="00065942">
    <w:pPr>
      <w:rPr>
        <w:rFonts w:ascii="Avenir Book" w:hAnsi="Avenir Book"/>
        <w:color w:val="808080"/>
        <w:sz w:val="14"/>
        <w:szCs w:val="14"/>
        <w:lang w:val="fr-FR"/>
      </w:rPr>
    </w:pPr>
    <w:r w:rsidRPr="00810CBA">
      <w:rPr>
        <w:rFonts w:ascii="Avenir Book" w:hAnsi="Avenir Book"/>
        <w:color w:val="808080"/>
        <w:sz w:val="13"/>
        <w:szCs w:val="13"/>
        <w:lang w:val="fr-FR"/>
      </w:rPr>
      <w:t>Tél. +33(0)1 34 51 70 01 – Fax +33 (0)1 34 51 82 05 – contact@iala-aism.org</w:t>
    </w:r>
  </w:p>
  <w:p w:rsidR="00065942" w:rsidRPr="004B6107" w:rsidRDefault="00065942" w:rsidP="00065942">
    <w:pPr>
      <w:rPr>
        <w:rFonts w:ascii="Avenir Book" w:hAnsi="Avenir Book"/>
        <w:b/>
        <w:color w:val="00558C"/>
        <w:sz w:val="14"/>
        <w:szCs w:val="14"/>
      </w:rPr>
    </w:pPr>
    <w:r w:rsidRPr="004B6107">
      <w:rPr>
        <w:rFonts w:ascii="Avenir Book" w:hAnsi="Avenir Book"/>
        <w:b/>
        <w:color w:val="00558C"/>
        <w:sz w:val="14"/>
        <w:szCs w:val="14"/>
      </w:rPr>
      <w:t>www.iala-aism.org</w:t>
    </w:r>
  </w:p>
  <w:p w:rsidR="00065942" w:rsidRPr="004B6107" w:rsidRDefault="00065942" w:rsidP="00065942">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065942" w:rsidRPr="00C771A7" w:rsidRDefault="00065942" w:rsidP="00065942">
    <w:pPr>
      <w:pStyle w:val="Footer"/>
      <w:rPr>
        <w:sz w:val="13"/>
        <w:szCs w:val="13"/>
      </w:rPr>
    </w:pPr>
    <w:r w:rsidRPr="004B6107">
      <w:rPr>
        <w:rFonts w:ascii="Avenir Next Condensed" w:hAnsi="Avenir Next Condensed"/>
        <w:iCs/>
        <w:color w:val="00558C"/>
        <w:sz w:val="14"/>
        <w:szCs w:val="14"/>
      </w:rPr>
      <w:t>Association Internationale de Signalisation Maritime</w:t>
    </w:r>
    <w:r w:rsidRPr="00C771A7">
      <w:rPr>
        <w:noProof/>
        <w:sz w:val="13"/>
        <w:szCs w:val="13"/>
      </w:rPr>
      <mc:AlternateContent>
        <mc:Choice Requires="wps">
          <w:drawing>
            <wp:anchor distT="0" distB="0" distL="114300" distR="114300" simplePos="0" relativeHeight="251654656" behindDoc="0" locked="0" layoutInCell="1" allowOverlap="1" wp14:anchorId="4197FB4E" wp14:editId="7E90BBC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36B982E0" id="Connecteur droit 1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065942" w:rsidP="00065942">
    <w:pPr>
      <w:pStyle w:val="Footerlandscape"/>
    </w:pPr>
    <w:r>
      <w:rPr>
        <w:noProof/>
        <w:lang w:eastAsia="en-GB"/>
      </w:rPr>
      <mc:AlternateContent>
        <mc:Choice Requires="wps">
          <w:drawing>
            <wp:anchor distT="0" distB="0" distL="114300" distR="114300" simplePos="0" relativeHeight="251656704" behindDoc="0" locked="0" layoutInCell="1" allowOverlap="1" wp14:anchorId="7960733D" wp14:editId="0431E59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5="http://schemas.microsoft.com/office/word/2012/wordml" xmlns:cx="http://schemas.microsoft.com/office/drawing/2014/chartex" xmlns:cx1="http://schemas.microsoft.com/office/drawing/2015/9/8/chartex" xmlns:w16se="http://schemas.microsoft.com/office/word/2015/wordml/symex">
          <w:pict>
            <v:line w14:anchorId="60DD97E7" id="Connecteur droit 11"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7SuQEAAF4DAAAOAAAAZHJzL2Uyb0RvYy54bWysU01v2zAMvQ/ofxB0b2wHaBsYcXpI0F2G&#10;LcC2H8DIsi1AXyDVOPn3o5Q067rbsAstitQj3yO9fj45K44ayQTfyWZRS6G9Cr3xYyd//ni5X0lB&#10;CXwPNnjdybMm+by5+7SeY6uXYQq21ygYxFM7x05OKcW2qkhN2gEtQtSeg0NAB4ldHKseYWZ0Z6tl&#10;XT9Wc8A+YlCaiG93l6DcFPxh0Cp9GwbSSdhOcm+pWCz2kG21WUM7IsTJqGsb8A9dODCei96gdpBA&#10;vKL5C8oZhYHCkBYquCoMg1G6cGA2Tf2BzfcJoi5cWByKN5no/8Gqr8c9CtPz7B6l8OB4RtvgPQun&#10;X1H0GEwSTZN1miO1nL71e7x6FPeYSZ8GdPnLdMSpaHu+aatPSSi+fGqWq7rmEai3WPX7YURKn3Vw&#10;Ih86aY3PtKGF4xdKXIxT31LytQ8vxtoyOuvFzL0vnwo08AYNFhJXcZE5kR+lADvyaqqEBZKCNX1+&#10;noEIx8PWojhCXo/64WG1zUy53B9pufYOaLrkldA1zfoMo8uiXVvNMl2EyadD6M9Fryp7PMSCfl24&#10;vCXvfT6//y02vwAAAP//AwBQSwMEFAAGAAgAAAAhAIsCLETfAAAADQEAAA8AAABkcnMvZG93bnJl&#10;di54bWxMj8FuwjAMhu+T9g6RJ3EbKSO0a9cUTZO4DE0I2O6h8dqKxqmSAN3bLxymcfTvT78/l8vR&#10;9OyMzneWJMymCTCk2uqOGgmf+9XjMzAfFGnVW0IJP+hhWd3flarQ9kJbPO9Cw2IJ+UJJaEMYCs59&#10;3aJRfmoHpLj7ts6oEEfXcO3UJZabnj8lScqN6iheaNWAby3Wx93JSNisGmE+xr0TebbO34fjGudf&#10;mZSTh/H1BVjAMfzDcNWP6lBFp4M9kfaslyCEiGTMF+kiA3YlZmmaAzv8Zbwq+e0X1S8AAAD//wMA&#10;UEsBAi0AFAAGAAgAAAAhALaDOJL+AAAA4QEAABMAAAAAAAAAAAAAAAAAAAAAAFtDb250ZW50X1R5&#10;cGVzXS54bWxQSwECLQAUAAYACAAAACEAOP0h/9YAAACUAQAACwAAAAAAAAAAAAAAAAAvAQAAX3Jl&#10;bHMvLnJlbHNQSwECLQAUAAYACAAAACEA2GiO0rkBAABeAwAADgAAAAAAAAAAAAAAAAAuAgAAZHJz&#10;L2Uyb0RvYy54bWxQSwECLQAUAAYACAAAACEAiwIsRN8AAAANAQAADwAAAAAAAAAAAAAAAAATBAAA&#10;ZHJzL2Rvd25yZXYueG1sUEsFBgAAAAAEAAQA8wAAAB8FAAAAAA==&#10;" strokecolor="#00558c" strokeweight="1pt">
              <w10:wrap anchorx="page" anchory="page"/>
            </v:line>
          </w:pict>
        </mc:Fallback>
      </mc:AlternateContent>
    </w:r>
  </w:p>
  <w:p w:rsidR="00065942" w:rsidRPr="00C907DF" w:rsidRDefault="00065942" w:rsidP="0006594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rsidR="00065942" w:rsidRPr="00525922" w:rsidRDefault="00065942" w:rsidP="0006594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C716E5" w:rsidRDefault="00065942" w:rsidP="00065942">
    <w:pPr>
      <w:pStyle w:val="Footer"/>
      <w:rPr>
        <w:sz w:val="15"/>
        <w:szCs w:val="15"/>
      </w:rPr>
    </w:pPr>
  </w:p>
  <w:p w:rsidR="00065942" w:rsidRDefault="00065942" w:rsidP="00065942">
    <w:pPr>
      <w:pStyle w:val="Footerportrait"/>
    </w:pPr>
  </w:p>
  <w:p w:rsidR="00065942" w:rsidRDefault="00065942" w:rsidP="00065942">
    <w:pPr>
      <w:pStyle w:val="Footerportrait"/>
    </w:pPr>
    <w:bookmarkStart w:id="1" w:name="_Hlk519331647"/>
    <w:r>
      <w:t>IALA Guideline 1???</w:t>
    </w:r>
    <w:r w:rsidRPr="00C907DF">
      <w:t>–</w:t>
    </w:r>
    <w:r>
      <w:t xml:space="preserve"> The provision of </w:t>
    </w:r>
    <w:r w:rsidR="00745790">
      <w:t>local port services</w:t>
    </w:r>
  </w:p>
  <w:p w:rsidR="00065942" w:rsidRPr="00C907DF" w:rsidRDefault="00065942" w:rsidP="00065942">
    <w:pPr>
      <w:pStyle w:val="Footerportrait"/>
    </w:pPr>
    <w:r>
      <w:t>Edition 1.0</w:t>
    </w:r>
    <w:bookmarkEnd w:id="1"/>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86C77">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065942" w:rsidP="00065942">
    <w:pPr>
      <w:pStyle w:val="Footer"/>
    </w:pPr>
  </w:p>
  <w:p w:rsidR="00065942" w:rsidRDefault="00065942" w:rsidP="00065942">
    <w:pPr>
      <w:pStyle w:val="Footerportrait"/>
    </w:pPr>
  </w:p>
  <w:p w:rsidR="00065942" w:rsidRDefault="00065942" w:rsidP="00236C96">
    <w:pPr>
      <w:pStyle w:val="Footerportrait"/>
    </w:pPr>
    <w:r>
      <w:t>IALA Guideline 1???</w:t>
    </w:r>
    <w:r w:rsidRPr="00C907DF">
      <w:t>–</w:t>
    </w:r>
    <w:r>
      <w:t xml:space="preserve"> The provision of </w:t>
    </w:r>
    <w:r w:rsidR="00745790">
      <w:t>local port services</w:t>
    </w:r>
  </w:p>
  <w:p w:rsidR="00065942" w:rsidRPr="00525922" w:rsidRDefault="00065942" w:rsidP="00236C96">
    <w:pPr>
      <w:pStyle w:val="Footerportrait"/>
    </w:pPr>
    <w:r>
      <w:t>Edition 1.0</w:t>
    </w: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86C77">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065942" w:rsidP="00065942">
    <w:pPr>
      <w:pStyle w:val="Footer"/>
    </w:pPr>
  </w:p>
  <w:p w:rsidR="00065942" w:rsidRDefault="00065942" w:rsidP="00065942">
    <w:pPr>
      <w:pStyle w:val="Footerportrait"/>
    </w:pPr>
  </w:p>
  <w:p w:rsidR="00065942" w:rsidRPr="00236C96" w:rsidRDefault="00065942" w:rsidP="00236C96">
    <w:pPr>
      <w:pStyle w:val="Footerportrait"/>
    </w:pPr>
    <w:r w:rsidRPr="00236C96">
      <w:t>IALA Guideline 1</w:t>
    </w:r>
    <w:r w:rsidR="00786C77">
      <w:t>142</w:t>
    </w:r>
    <w:r w:rsidRPr="00236C96">
      <w:t xml:space="preserve">– The </w:t>
    </w:r>
    <w:r>
      <w:t>p</w:t>
    </w:r>
    <w:r w:rsidRPr="00236C96">
      <w:t xml:space="preserve">rovision of </w:t>
    </w:r>
    <w:r>
      <w:t>l</w:t>
    </w:r>
    <w:r w:rsidRPr="00236C96">
      <w:t xml:space="preserve">ocal </w:t>
    </w:r>
    <w:r>
      <w:t>s</w:t>
    </w:r>
    <w:r w:rsidRPr="00236C96">
      <w:t>ervices</w:t>
    </w:r>
  </w:p>
  <w:p w:rsidR="00065942" w:rsidRPr="00C907DF" w:rsidRDefault="00065942" w:rsidP="00236C96">
    <w:pPr>
      <w:pStyle w:val="Footerportrait"/>
      <w:tabs>
        <w:tab w:val="clear" w:pos="10206"/>
        <w:tab w:val="right" w:pos="10205"/>
      </w:tabs>
    </w:pPr>
    <w:r w:rsidRPr="00236C96">
      <w:rPr>
        <w:lang w:val="en-GB"/>
      </w:rPr>
      <w:t>Edition 1.0</w:t>
    </w: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86C77">
      <w:rPr>
        <w:rStyle w:val="PageNumber"/>
        <w:szCs w:val="15"/>
      </w:rPr>
      <w:t>7</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3CB" w:rsidRDefault="005A43CB" w:rsidP="00362CD9">
      <w:r>
        <w:separator/>
      </w:r>
    </w:p>
    <w:p w:rsidR="005A43CB" w:rsidRDefault="005A43CB"/>
    <w:p w:rsidR="005A43CB" w:rsidRDefault="005A43CB"/>
  </w:footnote>
  <w:footnote w:type="continuationSeparator" w:id="0">
    <w:p w:rsidR="005A43CB" w:rsidRDefault="005A43CB" w:rsidP="00362CD9">
      <w:r>
        <w:continuationSeparator/>
      </w:r>
    </w:p>
    <w:p w:rsidR="005A43CB" w:rsidRDefault="005A43CB"/>
    <w:p w:rsidR="005A43CB" w:rsidRDefault="005A43CB"/>
  </w:footnote>
  <w:footnote w:id="1">
    <w:p w:rsidR="003A0FE2" w:rsidRPr="002548BB" w:rsidRDefault="003A0FE2">
      <w:pPr>
        <w:pStyle w:val="FootnoteText"/>
        <w:rPr>
          <w:sz w:val="16"/>
          <w:szCs w:val="16"/>
        </w:rPr>
      </w:pPr>
      <w:r w:rsidRPr="003A0FE2">
        <w:rPr>
          <w:rStyle w:val="FootnoteReference"/>
          <w:szCs w:val="16"/>
        </w:rPr>
        <w:footnoteRef/>
      </w:r>
      <w:r w:rsidRPr="002548BB">
        <w:rPr>
          <w:sz w:val="16"/>
          <w:szCs w:val="16"/>
        </w:rPr>
        <w:t xml:space="preserve"> Res. A.572(14) General Provisions on Ships’ Routeing</w:t>
      </w:r>
    </w:p>
  </w:footnote>
  <w:footnote w:id="2">
    <w:p w:rsidR="003A0FE2" w:rsidRPr="002548BB" w:rsidRDefault="003A0FE2">
      <w:pPr>
        <w:pStyle w:val="FootnoteText"/>
        <w:rPr>
          <w:sz w:val="16"/>
          <w:szCs w:val="16"/>
        </w:rPr>
      </w:pPr>
      <w:r w:rsidRPr="003A0FE2">
        <w:rPr>
          <w:rStyle w:val="FootnoteReference"/>
          <w:szCs w:val="16"/>
        </w:rPr>
        <w:footnoteRef/>
      </w:r>
      <w:r>
        <w:rPr>
          <w:sz w:val="16"/>
          <w:szCs w:val="16"/>
        </w:rPr>
        <w:t xml:space="preserve"> </w:t>
      </w:r>
      <w:r w:rsidRPr="002548BB">
        <w:rPr>
          <w:sz w:val="16"/>
          <w:szCs w:val="16"/>
        </w:rPr>
        <w:t xml:space="preserve">Res. A.851(20) General Principles for Ship Reporting Systems and Ship Reporting Requirements </w:t>
      </w:r>
    </w:p>
  </w:footnote>
  <w:footnote w:id="3">
    <w:p w:rsidR="003B4C72" w:rsidRPr="002548BB" w:rsidRDefault="003B4C72">
      <w:pPr>
        <w:pStyle w:val="FootnoteText"/>
        <w:rPr>
          <w:sz w:val="16"/>
          <w:szCs w:val="16"/>
        </w:rPr>
      </w:pPr>
      <w:r w:rsidRPr="003B4C72">
        <w:rPr>
          <w:rStyle w:val="FootnoteReference"/>
          <w:szCs w:val="16"/>
        </w:rPr>
        <w:footnoteRef/>
      </w:r>
      <w:r w:rsidRPr="002548BB">
        <w:rPr>
          <w:sz w:val="16"/>
          <w:szCs w:val="16"/>
        </w:rPr>
        <w:t xml:space="preserve"> Res. MSC.433(98) Guideline and Criteria for Ship Reporting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7E6901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4" o:spid="_x0000_s2053"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1990D2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62" type="#_x0000_t136" style="position:absolute;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667792" w:rsidRDefault="005A43CB" w:rsidP="00065942">
    <w:pPr>
      <w:pStyle w:val="Header"/>
    </w:pPr>
    <w:r>
      <w:rPr>
        <w:noProof/>
      </w:rPr>
      <w:pict w14:anchorId="63F1B0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3"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Pr>
        <w:noProof/>
      </w:rPr>
      <w:drawing>
        <wp:anchor distT="0" distB="0" distL="114300" distR="114300" simplePos="0" relativeHeight="251648512" behindDoc="1" locked="0" layoutInCell="1" allowOverlap="1" wp14:anchorId="4A1559AF" wp14:editId="301E7C6C">
          <wp:simplePos x="0" y="0"/>
          <wp:positionH relativeFrom="page">
            <wp:posOffset>6565486</wp:posOffset>
          </wp:positionH>
          <wp:positionV relativeFrom="page">
            <wp:posOffset>3810</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1C97F9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61"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810CBA" w:rsidRDefault="005A43CB" w:rsidP="00065942">
    <w:pPr>
      <w:pStyle w:val="Header"/>
      <w:tabs>
        <w:tab w:val="right" w:pos="9354"/>
      </w:tabs>
      <w:rPr>
        <w:rFonts w:asciiTheme="minorHAnsi" w:hAnsiTheme="minorHAnsi" w:cstheme="minorHAnsi"/>
        <w:sz w:val="20"/>
        <w:szCs w:val="20"/>
        <w:highlight w:val="yellow"/>
        <w:lang w:val="fr-FR"/>
      </w:rPr>
    </w:pPr>
    <w:r>
      <w:rPr>
        <w:noProof/>
      </w:rPr>
      <w:pict w14:anchorId="1D6AD7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5" o:spid="_x0000_s2054"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sidRPr="00442889">
      <w:rPr>
        <w:noProof/>
      </w:rPr>
      <w:drawing>
        <wp:anchor distT="0" distB="0" distL="114300" distR="114300" simplePos="0" relativeHeight="251653632" behindDoc="1" locked="0" layoutInCell="1" allowOverlap="1" wp14:anchorId="6F6E976E" wp14:editId="00B44D80">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65942" w:rsidRPr="00810CBA">
      <w:rPr>
        <w:lang w:val="fr-FR"/>
      </w:rPr>
      <w:tab/>
    </w:r>
    <w:r w:rsidR="00065942" w:rsidRPr="00810CBA">
      <w:rPr>
        <w:lang w:val="fr-FR"/>
      </w:rPr>
      <w:tab/>
    </w:r>
    <w:r w:rsidR="00065942" w:rsidRPr="00810CBA">
      <w:rPr>
        <w:rFonts w:asciiTheme="minorHAnsi" w:hAnsiTheme="minorHAnsi" w:cstheme="minorHAnsi"/>
        <w:sz w:val="20"/>
        <w:szCs w:val="20"/>
        <w:lang w:val="fr-FR"/>
      </w:rPr>
      <w:t>VTS45-</w:t>
    </w:r>
    <w:r w:rsidR="00CD35F3" w:rsidRPr="00CD35F3">
      <w:rPr>
        <w:rFonts w:asciiTheme="minorHAnsi" w:hAnsiTheme="minorHAnsi" w:cstheme="minorHAnsi"/>
        <w:sz w:val="20"/>
        <w:szCs w:val="20"/>
        <w:lang w:val="fr-FR"/>
      </w:rPr>
      <w:t>12.1.6</w:t>
    </w:r>
  </w:p>
  <w:p w:rsidR="00065942" w:rsidRPr="00810CBA" w:rsidRDefault="00065942" w:rsidP="00065942">
    <w:pPr>
      <w:pStyle w:val="Header"/>
      <w:rPr>
        <w:lang w:val="fr-FR"/>
      </w:rPr>
    </w:pPr>
  </w:p>
  <w:p w:rsidR="00065942" w:rsidRPr="00810CBA" w:rsidRDefault="00065942" w:rsidP="00065942">
    <w:pPr>
      <w:pStyle w:val="Header"/>
      <w:rPr>
        <w:lang w:val="fr-FR"/>
      </w:rPr>
    </w:pPr>
  </w:p>
  <w:p w:rsidR="00065942" w:rsidRPr="00810CBA" w:rsidRDefault="00065942" w:rsidP="00065942">
    <w:pPr>
      <w:pStyle w:val="Header"/>
      <w:rPr>
        <w:lang w:val="fr-FR"/>
      </w:rPr>
    </w:pPr>
  </w:p>
  <w:p w:rsidR="00065942" w:rsidRPr="00810CBA" w:rsidRDefault="00065942" w:rsidP="00065942">
    <w:pPr>
      <w:pStyle w:val="Header"/>
      <w:rPr>
        <w:lang w:val="fr-FR"/>
      </w:rPr>
    </w:pPr>
  </w:p>
  <w:p w:rsidR="00065942" w:rsidRPr="00810CBA" w:rsidRDefault="00065942" w:rsidP="00065942">
    <w:pPr>
      <w:pStyle w:val="Header"/>
      <w:rPr>
        <w:lang w:val="fr-FR"/>
      </w:rPr>
    </w:pPr>
    <w:r>
      <w:rPr>
        <w:noProof/>
      </w:rPr>
      <w:drawing>
        <wp:anchor distT="0" distB="0" distL="114300" distR="114300" simplePos="0" relativeHeight="251649536" behindDoc="1" locked="0" layoutInCell="1" allowOverlap="1" wp14:anchorId="2258069E" wp14:editId="2602B04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065942" w:rsidRPr="00810CBA" w:rsidRDefault="00065942" w:rsidP="00065942">
    <w:pPr>
      <w:pStyle w:val="Header"/>
      <w:rPr>
        <w:lang w:val="fr-FR"/>
      </w:rPr>
    </w:pPr>
  </w:p>
  <w:p w:rsidR="00065942" w:rsidRPr="00810CBA" w:rsidRDefault="00065942" w:rsidP="00065942">
    <w:pPr>
      <w:pStyle w:val="Header"/>
      <w:spacing w:line="360" w:lineRule="exac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118160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3" o:spid="_x0000_s2052"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Pr>
        <w:noProof/>
      </w:rPr>
      <w:drawing>
        <wp:anchor distT="0" distB="0" distL="114300" distR="114300" simplePos="0" relativeHeight="251655680" behindDoc="1" locked="0" layoutInCell="1" allowOverlap="1" wp14:anchorId="2B5FA475" wp14:editId="0F34D87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065942" w:rsidRDefault="00065942">
    <w:pPr>
      <w:pStyle w:val="Header"/>
    </w:pPr>
  </w:p>
  <w:p w:rsidR="00065942" w:rsidRDefault="0006594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0941CA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7" o:spid="_x0000_s2056" type="#_x0000_t136" style="position:absolute;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ED2A8D" w:rsidRDefault="005A43CB" w:rsidP="00065942">
    <w:pPr>
      <w:pStyle w:val="Header"/>
    </w:pPr>
    <w:r>
      <w:rPr>
        <w:noProof/>
      </w:rPr>
      <w:pict w14:anchorId="3C04E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8" o:spid="_x0000_s2057" type="#_x0000_t136" style="position:absolute;margin-left:0;margin-top:0;width:412.1pt;height:247.2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Pr>
        <w:noProof/>
      </w:rPr>
      <w:drawing>
        <wp:anchor distT="0" distB="0" distL="114300" distR="114300" simplePos="0" relativeHeight="251650560" behindDoc="1" locked="0" layoutInCell="1" allowOverlap="1" wp14:anchorId="23473096" wp14:editId="7D1FB99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065942" w:rsidRPr="00ED2A8D" w:rsidRDefault="00065942" w:rsidP="00065942">
    <w:pPr>
      <w:pStyle w:val="Header"/>
    </w:pPr>
  </w:p>
  <w:p w:rsidR="00065942" w:rsidRDefault="00065942" w:rsidP="00065942">
    <w:pPr>
      <w:pStyle w:val="Header"/>
    </w:pPr>
  </w:p>
  <w:p w:rsidR="00065942" w:rsidRDefault="00065942" w:rsidP="00065942">
    <w:pPr>
      <w:pStyle w:val="Header"/>
    </w:pPr>
  </w:p>
  <w:p w:rsidR="00065942" w:rsidRDefault="00065942" w:rsidP="00065942">
    <w:pPr>
      <w:pStyle w:val="Header"/>
    </w:pPr>
  </w:p>
  <w:p w:rsidR="00065942" w:rsidRPr="00441393" w:rsidRDefault="00065942" w:rsidP="00065942">
    <w:pPr>
      <w:pStyle w:val="Contents"/>
    </w:pPr>
    <w:r>
      <w:t>DOCUMENT REVISION</w:t>
    </w:r>
  </w:p>
  <w:p w:rsidR="00065942" w:rsidRPr="00ED2A8D" w:rsidRDefault="00065942" w:rsidP="00065942">
    <w:pPr>
      <w:pStyle w:val="Header"/>
    </w:pPr>
  </w:p>
  <w:p w:rsidR="00065942" w:rsidRPr="00AC33A2" w:rsidRDefault="00065942" w:rsidP="00065942">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4520B5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6" o:spid="_x0000_s2055"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Default="005A43CB">
    <w:pPr>
      <w:pStyle w:val="Header"/>
    </w:pPr>
    <w:r>
      <w:rPr>
        <w:noProof/>
      </w:rPr>
      <w:pict w14:anchorId="12CE4E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0" o:spid="_x0000_s2059" type="#_x0000_t136" style="position:absolute;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ED2A8D" w:rsidRDefault="005A43CB" w:rsidP="00065942">
    <w:pPr>
      <w:pStyle w:val="Header"/>
    </w:pPr>
    <w:r>
      <w:rPr>
        <w:noProof/>
      </w:rPr>
      <w:pict w14:anchorId="0F9F8C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1" o:spid="_x0000_s2060"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Pr>
        <w:noProof/>
      </w:rPr>
      <w:drawing>
        <wp:anchor distT="0" distB="0" distL="114300" distR="114300" simplePos="0" relativeHeight="251647488" behindDoc="1" locked="0" layoutInCell="1" allowOverlap="1" wp14:anchorId="06D2A72B" wp14:editId="5A63C51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065942" w:rsidRPr="00ED2A8D" w:rsidRDefault="00065942" w:rsidP="00065942">
    <w:pPr>
      <w:pStyle w:val="Header"/>
    </w:pPr>
  </w:p>
  <w:p w:rsidR="00065942" w:rsidRDefault="00065942" w:rsidP="00065942">
    <w:pPr>
      <w:pStyle w:val="Header"/>
    </w:pPr>
  </w:p>
  <w:p w:rsidR="00065942" w:rsidRDefault="00065942" w:rsidP="00065942">
    <w:pPr>
      <w:pStyle w:val="Header"/>
    </w:pPr>
  </w:p>
  <w:p w:rsidR="00065942" w:rsidRDefault="00065942" w:rsidP="00065942">
    <w:pPr>
      <w:pStyle w:val="Header"/>
    </w:pPr>
  </w:p>
  <w:p w:rsidR="00065942" w:rsidRPr="00441393" w:rsidRDefault="00065942" w:rsidP="00065942">
    <w:pPr>
      <w:pStyle w:val="Contents"/>
    </w:pPr>
    <w:r>
      <w:t>CONTENTS</w:t>
    </w:r>
  </w:p>
  <w:p w:rsidR="00065942" w:rsidRDefault="00065942" w:rsidP="00065942">
    <w:pPr>
      <w:pStyle w:val="Header"/>
      <w:spacing w:line="140" w:lineRule="exact"/>
    </w:pPr>
  </w:p>
  <w:p w:rsidR="00065942" w:rsidRPr="00AC33A2" w:rsidRDefault="00065942" w:rsidP="00065942">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42" w:rsidRPr="00ED2A8D" w:rsidRDefault="005A43CB" w:rsidP="00065942">
    <w:pPr>
      <w:pStyle w:val="Header"/>
    </w:pPr>
    <w:r>
      <w:rPr>
        <w:noProof/>
      </w:rPr>
      <w:pict w14:anchorId="35A4C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79" o:spid="_x0000_s205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65942">
      <w:rPr>
        <w:noProof/>
      </w:rPr>
      <w:drawing>
        <wp:anchor distT="0" distB="0" distL="114300" distR="114300" simplePos="0" relativeHeight="251652608" behindDoc="1" locked="0" layoutInCell="1" allowOverlap="1" wp14:anchorId="408C93C4" wp14:editId="6C0D9793">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065942" w:rsidRPr="00ED2A8D" w:rsidRDefault="00065942" w:rsidP="00065942">
    <w:pPr>
      <w:pStyle w:val="Header"/>
    </w:pPr>
  </w:p>
  <w:p w:rsidR="00065942" w:rsidRDefault="00065942" w:rsidP="00065942">
    <w:pPr>
      <w:pStyle w:val="Header"/>
    </w:pPr>
  </w:p>
  <w:p w:rsidR="00065942" w:rsidRDefault="00065942" w:rsidP="00065942">
    <w:pPr>
      <w:pStyle w:val="Header"/>
    </w:pPr>
  </w:p>
  <w:p w:rsidR="00065942" w:rsidRDefault="00065942" w:rsidP="00065942">
    <w:pPr>
      <w:pStyle w:val="Header"/>
    </w:pPr>
  </w:p>
  <w:p w:rsidR="00065942" w:rsidRPr="00441393" w:rsidRDefault="00065942" w:rsidP="00065942">
    <w:pPr>
      <w:pStyle w:val="Contents"/>
    </w:pPr>
    <w:r>
      <w:t>CONTENTS</w:t>
    </w:r>
  </w:p>
  <w:p w:rsidR="00065942" w:rsidRPr="00ED2A8D" w:rsidRDefault="00065942" w:rsidP="00065942">
    <w:pPr>
      <w:pStyle w:val="Header"/>
    </w:pPr>
  </w:p>
  <w:p w:rsidR="00065942" w:rsidRPr="00AC33A2" w:rsidRDefault="00065942" w:rsidP="00065942">
    <w:pPr>
      <w:pStyle w:val="Header"/>
      <w:spacing w:line="140" w:lineRule="exact"/>
    </w:pPr>
  </w:p>
  <w:p w:rsidR="00065942" w:rsidRDefault="00065942">
    <w:pPr>
      <w:pStyle w:val="Header"/>
    </w:pPr>
    <w:r>
      <w:rPr>
        <w:noProof/>
      </w:rPr>
      <w:drawing>
        <wp:anchor distT="0" distB="0" distL="114300" distR="114300" simplePos="0" relativeHeight="251651584" behindDoc="1" locked="0" layoutInCell="1" allowOverlap="1" wp14:anchorId="607CC648" wp14:editId="2DCF96F1">
          <wp:simplePos x="0" y="0"/>
          <wp:positionH relativeFrom="page">
            <wp:posOffset>6827653</wp:posOffset>
          </wp:positionH>
          <wp:positionV relativeFrom="page">
            <wp:posOffset>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F387F4B"/>
    <w:multiLevelType w:val="hybridMultilevel"/>
    <w:tmpl w:val="9AC276BA"/>
    <w:lvl w:ilvl="0" w:tplc="08090001">
      <w:start w:val="1"/>
      <w:numFmt w:val="bullet"/>
      <w:lvlText w:val=""/>
      <w:lvlJc w:val="left"/>
      <w:pPr>
        <w:ind w:left="720" w:hanging="360"/>
      </w:pPr>
      <w:rPr>
        <w:rFonts w:ascii="Symbol" w:hAnsi="Symbol" w:hint="default"/>
      </w:rPr>
    </w:lvl>
    <w:lvl w:ilvl="1" w:tplc="C1DCBA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
  </w:num>
  <w:num w:numId="3">
    <w:abstractNumId w:val="25"/>
  </w:num>
  <w:num w:numId="4">
    <w:abstractNumId w:val="12"/>
  </w:num>
  <w:num w:numId="5">
    <w:abstractNumId w:val="10"/>
  </w:num>
  <w:num w:numId="6">
    <w:abstractNumId w:val="19"/>
  </w:num>
  <w:num w:numId="7">
    <w:abstractNumId w:val="18"/>
  </w:num>
  <w:num w:numId="8">
    <w:abstractNumId w:val="23"/>
  </w:num>
  <w:num w:numId="9">
    <w:abstractNumId w:val="9"/>
  </w:num>
  <w:num w:numId="10">
    <w:abstractNumId w:val="21"/>
  </w:num>
  <w:num w:numId="11">
    <w:abstractNumId w:val="15"/>
  </w:num>
  <w:num w:numId="12">
    <w:abstractNumId w:val="14"/>
  </w:num>
  <w:num w:numId="13">
    <w:abstractNumId w:val="7"/>
  </w:num>
  <w:num w:numId="14">
    <w:abstractNumId w:val="16"/>
  </w:num>
  <w:num w:numId="15">
    <w:abstractNumId w:val="27"/>
  </w:num>
  <w:num w:numId="16">
    <w:abstractNumId w:val="4"/>
  </w:num>
  <w:num w:numId="17">
    <w:abstractNumId w:val="5"/>
  </w:num>
  <w:num w:numId="18">
    <w:abstractNumId w:val="24"/>
  </w:num>
  <w:num w:numId="19">
    <w:abstractNumId w:val="1"/>
  </w:num>
  <w:num w:numId="20">
    <w:abstractNumId w:val="26"/>
  </w:num>
  <w:num w:numId="21">
    <w:abstractNumId w:val="20"/>
  </w:num>
  <w:num w:numId="22">
    <w:abstractNumId w:val="22"/>
  </w:num>
  <w:num w:numId="23">
    <w:abstractNumId w:val="3"/>
  </w:num>
  <w:num w:numId="24">
    <w:abstractNumId w:val="11"/>
  </w:num>
  <w:num w:numId="25">
    <w:abstractNumId w:val="8"/>
  </w:num>
  <w:num w:numId="26">
    <w:abstractNumId w:val="13"/>
  </w:num>
  <w:num w:numId="27">
    <w:abstractNumId w:val="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11E2"/>
    <w:rsid w:val="00036B9E"/>
    <w:rsid w:val="00037DF4"/>
    <w:rsid w:val="00040C57"/>
    <w:rsid w:val="0004700E"/>
    <w:rsid w:val="00065942"/>
    <w:rsid w:val="00070C13"/>
    <w:rsid w:val="000715C9"/>
    <w:rsid w:val="00084F33"/>
    <w:rsid w:val="00085B16"/>
    <w:rsid w:val="000A77A7"/>
    <w:rsid w:val="000B1707"/>
    <w:rsid w:val="000C1B3E"/>
    <w:rsid w:val="000E5BA9"/>
    <w:rsid w:val="000F15B0"/>
    <w:rsid w:val="0010585B"/>
    <w:rsid w:val="00110AE7"/>
    <w:rsid w:val="00127DB0"/>
    <w:rsid w:val="00137240"/>
    <w:rsid w:val="00145308"/>
    <w:rsid w:val="00146698"/>
    <w:rsid w:val="00177F4D"/>
    <w:rsid w:val="00180DDA"/>
    <w:rsid w:val="001A140F"/>
    <w:rsid w:val="001B2A2D"/>
    <w:rsid w:val="001B737D"/>
    <w:rsid w:val="001C44A3"/>
    <w:rsid w:val="001C7BE2"/>
    <w:rsid w:val="001D5CD7"/>
    <w:rsid w:val="001E0E15"/>
    <w:rsid w:val="001F528A"/>
    <w:rsid w:val="001F704E"/>
    <w:rsid w:val="00201722"/>
    <w:rsid w:val="002125B0"/>
    <w:rsid w:val="00236C96"/>
    <w:rsid w:val="00243228"/>
    <w:rsid w:val="00251483"/>
    <w:rsid w:val="002548BB"/>
    <w:rsid w:val="00255CAA"/>
    <w:rsid w:val="002608E2"/>
    <w:rsid w:val="00264305"/>
    <w:rsid w:val="00265CED"/>
    <w:rsid w:val="00283073"/>
    <w:rsid w:val="00291053"/>
    <w:rsid w:val="00292F4A"/>
    <w:rsid w:val="002A0346"/>
    <w:rsid w:val="002A3AAE"/>
    <w:rsid w:val="002A4487"/>
    <w:rsid w:val="002B49E9"/>
    <w:rsid w:val="002C3548"/>
    <w:rsid w:val="002C632E"/>
    <w:rsid w:val="002D3E8B"/>
    <w:rsid w:val="002D4575"/>
    <w:rsid w:val="002D5C0C"/>
    <w:rsid w:val="002E03D1"/>
    <w:rsid w:val="002E6B74"/>
    <w:rsid w:val="002E6FCA"/>
    <w:rsid w:val="002F0B57"/>
    <w:rsid w:val="00307EE3"/>
    <w:rsid w:val="003336CC"/>
    <w:rsid w:val="00356CD0"/>
    <w:rsid w:val="00362CD9"/>
    <w:rsid w:val="003761CA"/>
    <w:rsid w:val="00380DAF"/>
    <w:rsid w:val="003972CE"/>
    <w:rsid w:val="003A0FE2"/>
    <w:rsid w:val="003A6451"/>
    <w:rsid w:val="003B28F5"/>
    <w:rsid w:val="003B4C72"/>
    <w:rsid w:val="003B6C86"/>
    <w:rsid w:val="003B7B7D"/>
    <w:rsid w:val="003C54CB"/>
    <w:rsid w:val="003C7A2A"/>
    <w:rsid w:val="003D2DC1"/>
    <w:rsid w:val="003D69D0"/>
    <w:rsid w:val="003E5AA3"/>
    <w:rsid w:val="003F2918"/>
    <w:rsid w:val="003F430E"/>
    <w:rsid w:val="0041088C"/>
    <w:rsid w:val="00420A38"/>
    <w:rsid w:val="00431B19"/>
    <w:rsid w:val="004520B3"/>
    <w:rsid w:val="00460606"/>
    <w:rsid w:val="004661AD"/>
    <w:rsid w:val="00467055"/>
    <w:rsid w:val="004737B9"/>
    <w:rsid w:val="004753BB"/>
    <w:rsid w:val="00487B9B"/>
    <w:rsid w:val="004A3BAE"/>
    <w:rsid w:val="004D1D85"/>
    <w:rsid w:val="004D3C3A"/>
    <w:rsid w:val="004D4B1B"/>
    <w:rsid w:val="004D5DC3"/>
    <w:rsid w:val="004E1CD1"/>
    <w:rsid w:val="004E2D86"/>
    <w:rsid w:val="00503C61"/>
    <w:rsid w:val="005107EB"/>
    <w:rsid w:val="00521345"/>
    <w:rsid w:val="00526DF0"/>
    <w:rsid w:val="00545CC4"/>
    <w:rsid w:val="00551FFF"/>
    <w:rsid w:val="005607A2"/>
    <w:rsid w:val="005622DA"/>
    <w:rsid w:val="0057198B"/>
    <w:rsid w:val="00573CFE"/>
    <w:rsid w:val="005969F2"/>
    <w:rsid w:val="00597FAE"/>
    <w:rsid w:val="005A43CB"/>
    <w:rsid w:val="005B32A3"/>
    <w:rsid w:val="005B7A6E"/>
    <w:rsid w:val="005C0D44"/>
    <w:rsid w:val="005C566C"/>
    <w:rsid w:val="005C5B87"/>
    <w:rsid w:val="005C7E69"/>
    <w:rsid w:val="005D4961"/>
    <w:rsid w:val="005E262D"/>
    <w:rsid w:val="005E3508"/>
    <w:rsid w:val="005E355F"/>
    <w:rsid w:val="005F23D3"/>
    <w:rsid w:val="005F7E20"/>
    <w:rsid w:val="00605E43"/>
    <w:rsid w:val="00605FE9"/>
    <w:rsid w:val="006153BB"/>
    <w:rsid w:val="00650B5D"/>
    <w:rsid w:val="006652C3"/>
    <w:rsid w:val="00677FAA"/>
    <w:rsid w:val="00681DFF"/>
    <w:rsid w:val="006919F5"/>
    <w:rsid w:val="00691FD0"/>
    <w:rsid w:val="00692148"/>
    <w:rsid w:val="006A1A1E"/>
    <w:rsid w:val="006A35F1"/>
    <w:rsid w:val="006A7E45"/>
    <w:rsid w:val="006C5948"/>
    <w:rsid w:val="006E1ABD"/>
    <w:rsid w:val="006F017F"/>
    <w:rsid w:val="006F2A74"/>
    <w:rsid w:val="006F4F07"/>
    <w:rsid w:val="007055E4"/>
    <w:rsid w:val="007118F5"/>
    <w:rsid w:val="00712AA4"/>
    <w:rsid w:val="007146C4"/>
    <w:rsid w:val="00721AA1"/>
    <w:rsid w:val="00724B67"/>
    <w:rsid w:val="00725902"/>
    <w:rsid w:val="00745790"/>
    <w:rsid w:val="007547F8"/>
    <w:rsid w:val="007614F7"/>
    <w:rsid w:val="00765622"/>
    <w:rsid w:val="00770B6C"/>
    <w:rsid w:val="00783FEA"/>
    <w:rsid w:val="00786C77"/>
    <w:rsid w:val="007A395D"/>
    <w:rsid w:val="007B1EB2"/>
    <w:rsid w:val="007C346C"/>
    <w:rsid w:val="007D24E7"/>
    <w:rsid w:val="007D27B8"/>
    <w:rsid w:val="007D2854"/>
    <w:rsid w:val="007D7171"/>
    <w:rsid w:val="007E09BC"/>
    <w:rsid w:val="0080294B"/>
    <w:rsid w:val="00810CBA"/>
    <w:rsid w:val="00823AAA"/>
    <w:rsid w:val="0082480E"/>
    <w:rsid w:val="008456CE"/>
    <w:rsid w:val="00850293"/>
    <w:rsid w:val="00851373"/>
    <w:rsid w:val="00851BA6"/>
    <w:rsid w:val="0085654D"/>
    <w:rsid w:val="00860D67"/>
    <w:rsid w:val="00861160"/>
    <w:rsid w:val="0086654F"/>
    <w:rsid w:val="00875CB4"/>
    <w:rsid w:val="00887C70"/>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D3DA2"/>
    <w:rsid w:val="009E7722"/>
    <w:rsid w:val="00A0389B"/>
    <w:rsid w:val="00A0506D"/>
    <w:rsid w:val="00A17439"/>
    <w:rsid w:val="00A33AE9"/>
    <w:rsid w:val="00A33E48"/>
    <w:rsid w:val="00A35999"/>
    <w:rsid w:val="00A446C9"/>
    <w:rsid w:val="00A635D6"/>
    <w:rsid w:val="00A8553A"/>
    <w:rsid w:val="00A930C1"/>
    <w:rsid w:val="00A93AED"/>
    <w:rsid w:val="00AD74F0"/>
    <w:rsid w:val="00AD796D"/>
    <w:rsid w:val="00AE1319"/>
    <w:rsid w:val="00AE144D"/>
    <w:rsid w:val="00AE34BB"/>
    <w:rsid w:val="00B226F2"/>
    <w:rsid w:val="00B274DF"/>
    <w:rsid w:val="00B3236A"/>
    <w:rsid w:val="00B56BDF"/>
    <w:rsid w:val="00B64828"/>
    <w:rsid w:val="00B65812"/>
    <w:rsid w:val="00B85CD6"/>
    <w:rsid w:val="00B90A27"/>
    <w:rsid w:val="00B9554D"/>
    <w:rsid w:val="00BB2B9F"/>
    <w:rsid w:val="00BB7D9E"/>
    <w:rsid w:val="00BC2334"/>
    <w:rsid w:val="00BD3CB8"/>
    <w:rsid w:val="00BD48B3"/>
    <w:rsid w:val="00BD4E6F"/>
    <w:rsid w:val="00BE51E0"/>
    <w:rsid w:val="00BF32F0"/>
    <w:rsid w:val="00BF4DCE"/>
    <w:rsid w:val="00BF6168"/>
    <w:rsid w:val="00C05CE5"/>
    <w:rsid w:val="00C6171E"/>
    <w:rsid w:val="00C76179"/>
    <w:rsid w:val="00CA6F2C"/>
    <w:rsid w:val="00CB2787"/>
    <w:rsid w:val="00CC2DCC"/>
    <w:rsid w:val="00CC6E6E"/>
    <w:rsid w:val="00CD35F3"/>
    <w:rsid w:val="00CF1871"/>
    <w:rsid w:val="00D019CE"/>
    <w:rsid w:val="00D1133E"/>
    <w:rsid w:val="00D125F4"/>
    <w:rsid w:val="00D17A34"/>
    <w:rsid w:val="00D26628"/>
    <w:rsid w:val="00D332B3"/>
    <w:rsid w:val="00D55207"/>
    <w:rsid w:val="00D81801"/>
    <w:rsid w:val="00D92B45"/>
    <w:rsid w:val="00D95962"/>
    <w:rsid w:val="00D96D98"/>
    <w:rsid w:val="00DC389B"/>
    <w:rsid w:val="00DC7F9F"/>
    <w:rsid w:val="00DD5CDF"/>
    <w:rsid w:val="00DE2FEE"/>
    <w:rsid w:val="00DE62FE"/>
    <w:rsid w:val="00E00BE9"/>
    <w:rsid w:val="00E22A11"/>
    <w:rsid w:val="00E24784"/>
    <w:rsid w:val="00E31E5C"/>
    <w:rsid w:val="00E44DD2"/>
    <w:rsid w:val="00E5084F"/>
    <w:rsid w:val="00E53FAC"/>
    <w:rsid w:val="00E558C3"/>
    <w:rsid w:val="00E55927"/>
    <w:rsid w:val="00E55BC2"/>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2EDF-8557-4BE2-AFC5-9DB078C2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1658</Words>
  <Characters>9456</Characters>
  <Application>Microsoft Office Word</Application>
  <DocSecurity>0</DocSecurity>
  <Lines>78</Lines>
  <Paragraphs>22</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Vlaamse Overheid</Company>
  <LinksUpToDate>false</LinksUpToDate>
  <CharactersWithSpaces>11092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5</cp:revision>
  <dcterms:created xsi:type="dcterms:W3CDTF">2018-10-04T15:03:00Z</dcterms:created>
  <dcterms:modified xsi:type="dcterms:W3CDTF">2018-10-07T09:45:00Z</dcterms:modified>
</cp:coreProperties>
</file>